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eastAsia="CESI黑体-GB2312"/>
          <w:color w:val="auto"/>
          <w:sz w:val="32"/>
          <w:szCs w:val="32"/>
          <w:highlight w:val="none"/>
        </w:rPr>
      </w:pPr>
      <w:r>
        <w:rPr>
          <w:rFonts w:eastAsia="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竞争性磋商文件示范文本</w:t>
      </w:r>
      <w:r/>
    </w:p>
    <w:p>
      <w:pPr>
        <w:jc w:val="center"/>
        <w:spacing w:line="360" w:lineRule="auto"/>
        <w:rPr>
          <w:b/>
          <w:bCs/>
          <w:color w:val="auto"/>
          <w:sz w:val="60"/>
          <w:szCs w:val="60"/>
          <w:highlight w:val="none"/>
        </w:rPr>
      </w:pPr>
      <w:r>
        <w:rPr>
          <w:rFonts w:eastAsia="方正仿宋_GBK"/>
          <w:b/>
          <w:bCs/>
          <w:color w:val="auto"/>
          <w:sz w:val="60"/>
          <w:szCs w:val="60"/>
          <w:highlight w:val="none"/>
        </w:rPr>
        <w:t xml:space="preserve">（试行）（2022年版）</w:t>
      </w:r>
      <w:r/>
    </w:p>
    <w:p>
      <w:pPr>
        <w:jc w:val="center"/>
        <w:spacing w:line="360" w:lineRule="auto"/>
        <w:rPr>
          <w:b/>
          <w:bCs/>
          <w:color w:val="auto"/>
          <w:sz w:val="60"/>
          <w:szCs w:val="60"/>
          <w:highlight w:val="none"/>
        </w:rPr>
      </w:pPr>
      <w:r>
        <w:rPr>
          <w:b/>
          <w:bCs/>
          <w:color w:val="auto"/>
          <w:sz w:val="60"/>
          <w:szCs w:val="60"/>
          <w:highlight w:val="none"/>
        </w:rPr>
      </w:r>
      <w:r/>
    </w:p>
    <w:p>
      <w:pPr>
        <w:jc w:val="center"/>
        <w:spacing w:line="360" w:lineRule="auto"/>
        <w:rPr>
          <w:b/>
          <w:bCs/>
          <w:color w:val="auto"/>
          <w:sz w:val="60"/>
          <w:szCs w:val="60"/>
          <w:highlight w:val="none"/>
        </w:rPr>
      </w:pPr>
      <w:r>
        <w:rPr>
          <w:b/>
          <w:bCs/>
          <w:color w:val="auto"/>
          <w:sz w:val="60"/>
          <w:szCs w:val="60"/>
          <w:highlight w:val="none"/>
        </w:rPr>
      </w:r>
      <w:r/>
    </w:p>
    <w:p>
      <w:pPr>
        <w:jc w:val="center"/>
        <w:spacing w:line="360" w:lineRule="auto"/>
        <w:rPr>
          <w:b/>
          <w:bCs/>
          <w:color w:val="auto"/>
          <w:sz w:val="60"/>
          <w:szCs w:val="60"/>
          <w:highlight w:val="none"/>
        </w:rPr>
      </w:pPr>
      <w:r>
        <w:rPr>
          <w:b/>
          <w:bCs/>
          <w:color w:val="auto"/>
          <w:sz w:val="60"/>
          <w:szCs w:val="60"/>
          <w:highlight w:val="none"/>
        </w:rPr>
      </w:r>
      <w:r/>
    </w:p>
    <w:p>
      <w:pPr>
        <w:jc w:val="left"/>
        <w:spacing w:line="360" w:lineRule="auto"/>
        <w:tabs>
          <w:tab w:val="left" w:pos="5064" w:leader="none"/>
        </w:tabs>
        <w:rPr>
          <w:rFonts w:hint="eastAsia"/>
          <w:bCs/>
          <w:color w:val="auto"/>
          <w:sz w:val="36"/>
          <w:szCs w:val="36"/>
          <w:highlight w:val="none"/>
          <w:lang w:eastAsia="zh-CN"/>
        </w:rPr>
      </w:pPr>
      <w:r>
        <w:rPr>
          <w:rFonts w:hint="eastAsia"/>
          <w:bCs/>
          <w:color w:val="auto"/>
          <w:sz w:val="36"/>
          <w:szCs w:val="36"/>
          <w:highlight w:val="none"/>
          <w:lang w:eastAsia="zh-CN"/>
        </w:rPr>
        <w:t xml:space="preserve">项目名称：天目湖镇度假区(迎宾大道以南、包含迎宾大道、平桥集镇及田家山工业园）绿化养护服务</w:t>
      </w:r>
      <w:r/>
    </w:p>
    <w:p>
      <w:pPr>
        <w:jc w:val="left"/>
        <w:spacing w:line="360" w:lineRule="auto"/>
        <w:tabs>
          <w:tab w:val="left" w:pos="5064" w:leader="none"/>
        </w:tabs>
        <w:rPr>
          <w:rFonts w:hint="eastAsia"/>
          <w:bCs/>
          <w:color w:val="auto"/>
          <w:sz w:val="36"/>
          <w:szCs w:val="36"/>
          <w:highlight w:val="none"/>
          <w:lang w:eastAsia="zh-CN"/>
        </w:rPr>
      </w:pPr>
      <w:r>
        <w:rPr>
          <w:rFonts w:hint="eastAsia"/>
          <w:bCs/>
          <w:color w:val="auto"/>
          <w:sz w:val="36"/>
          <w:szCs w:val="36"/>
          <w:highlight w:val="none"/>
          <w:lang w:eastAsia="zh-CN"/>
        </w:rPr>
        <w:t xml:space="preserve">项目编号：JSZC-320481-LCGL-C2025-0079</w:t>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溧阳市天目湖镇人民政府</w:t>
      </w:r>
      <w:r/>
    </w:p>
    <w:p>
      <w:pPr>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采购代理机构：江苏立诚建设项目管理咨询有限公司</w:t>
      </w:r>
      <w:r/>
    </w:p>
    <w:p>
      <w:pPr>
        <w:jc w:val="left"/>
        <w:widowControl/>
        <w:rPr>
          <w:color w:val="auto"/>
          <w:sz w:val="24"/>
          <w:highlight w:val="none"/>
        </w:rPr>
      </w:pPr>
      <w:r>
        <w:rPr>
          <w:b/>
          <w:bCs/>
          <w:color w:val="auto"/>
          <w:sz w:val="44"/>
          <w:highlight w:val="none"/>
        </w:rPr>
        <w:br w:type="page" w:clear="all"/>
      </w:r>
      <w:r/>
    </w:p>
    <w:p>
      <w:pPr>
        <w:jc w:val="left"/>
        <w:widowControl/>
        <w:rPr>
          <w:color w:val="auto"/>
          <w:sz w:val="24"/>
          <w:highlight w:val="none"/>
        </w:rPr>
      </w:pPr>
      <w:r>
        <w:rPr>
          <w:color w:val="auto"/>
          <w:sz w:val="24"/>
          <w:highlight w:val="none"/>
        </w:rPr>
      </w:r>
      <w:r/>
    </w:p>
    <w:p>
      <w:pPr>
        <w:pStyle w:val="825"/>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rPr>
          <w:b/>
          <w:color w:val="auto"/>
          <w:sz w:val="36"/>
          <w:szCs w:val="36"/>
          <w:highlight w:val="none"/>
        </w:rPr>
        <w:t xml:space="preserve">目      录</w:t>
      </w:r>
      <w:bookmarkEnd w:id="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25"/>
        <w:rPr>
          <w:rFonts w:ascii="Times New Roman" w:hAnsi="Times New Roman"/>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1025"/>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"_Toc104818925" </w:instrText>
      </w:r>
      <w:r>
        <w:rPr>
          <w:color w:val="auto"/>
          <w:highlight w:val="none"/>
        </w:rPr>
        <w:fldChar w:fldCharType="separate"/>
      </w:r>
      <w:r>
        <w:rPr>
          <w:rStyle w:val="1049"/>
          <w:rFonts w:ascii="Times New Roman" w:hAnsi="Times New Roman"/>
          <w:color w:val="auto"/>
          <w:highlight w:val="none"/>
        </w:rPr>
        <w:t xml:space="preserve">第一章   采购邀请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_Toc104818925 \h </w:instrText>
      </w:r>
      <w:r>
        <w:rPr>
          <w:rFonts w:ascii="Times New Roman" w:hAnsi="Times New Roman"/>
          <w:color w:val="auto"/>
          <w:highlight w:val="none"/>
        </w:rPr>
        <w:fldChar w:fldCharType="separate"/>
      </w:r>
      <w:r>
        <w:rPr>
          <w:rFonts w:ascii="Times New Roman" w:hAnsi="Times New Roman"/>
          <w:color w:val="auto"/>
          <w:highlight w:val="none"/>
        </w:rPr>
        <w:t xml:space="preserve">3</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025"/>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"_Toc104818926" </w:instrText>
      </w:r>
      <w:r>
        <w:rPr>
          <w:color w:val="auto"/>
          <w:highlight w:val="none"/>
        </w:rPr>
        <w:fldChar w:fldCharType="separate"/>
      </w:r>
      <w:r>
        <w:rPr>
          <w:rStyle w:val="1049"/>
          <w:rFonts w:ascii="Times New Roman" w:hAnsi="Times New Roman"/>
          <w:color w:val="auto"/>
          <w:highlight w:val="none"/>
        </w:rPr>
        <w:t xml:space="preserve">第二章   供应商须知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_Toc104818926 \h </w:instrText>
      </w:r>
      <w:r>
        <w:rPr>
          <w:rFonts w:ascii="Times New Roman" w:hAnsi="Times New Roman"/>
          <w:color w:val="auto"/>
          <w:highlight w:val="none"/>
        </w:rPr>
        <w:fldChar w:fldCharType="separate"/>
      </w:r>
      <w:r>
        <w:rPr>
          <w:rFonts w:ascii="Times New Roman" w:hAnsi="Times New Roman"/>
          <w:color w:val="auto"/>
          <w:highlight w:val="none"/>
        </w:rPr>
        <w:t xml:space="preserve">7</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025"/>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"_Toc104818927" </w:instrText>
      </w:r>
      <w:r>
        <w:rPr>
          <w:color w:val="auto"/>
          <w:highlight w:val="none"/>
        </w:rPr>
        <w:fldChar w:fldCharType="separate"/>
      </w:r>
      <w:r>
        <w:rPr>
          <w:rStyle w:val="1049"/>
          <w:rFonts w:ascii="Times New Roman" w:hAnsi="Times New Roman"/>
          <w:color w:val="auto"/>
          <w:highlight w:val="none"/>
        </w:rPr>
        <w:t xml:space="preserve">第三章   评审程序、评审方法和评审标准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_Toc104818927 \h </w:instrText>
      </w:r>
      <w:r>
        <w:rPr>
          <w:rFonts w:ascii="Times New Roman" w:hAnsi="Times New Roman"/>
          <w:color w:val="auto"/>
          <w:highlight w:val="none"/>
        </w:rPr>
        <w:fldChar w:fldCharType="separate"/>
      </w:r>
      <w:r>
        <w:rPr>
          <w:rFonts w:ascii="Times New Roman" w:hAnsi="Times New Roman"/>
          <w:color w:val="auto"/>
          <w:highlight w:val="none"/>
        </w:rPr>
        <w:t xml:space="preserve">17</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025"/>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"_Toc104818928" </w:instrText>
      </w:r>
      <w:r>
        <w:rPr>
          <w:color w:val="auto"/>
          <w:highlight w:val="none"/>
        </w:rPr>
        <w:fldChar w:fldCharType="separate"/>
      </w:r>
      <w:r>
        <w:rPr>
          <w:rStyle w:val="1049"/>
          <w:rFonts w:ascii="Times New Roman" w:hAnsi="Times New Roman"/>
          <w:color w:val="auto"/>
          <w:highlight w:val="none"/>
        </w:rPr>
        <w:t xml:space="preserve">第四章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_Toc104818928 \h </w:instrText>
      </w:r>
      <w:r>
        <w:rPr>
          <w:rFonts w:ascii="Times New Roman" w:hAnsi="Times New Roman"/>
          <w:color w:val="auto"/>
          <w:highlight w:val="none"/>
        </w:rPr>
        <w:fldChar w:fldCharType="separate"/>
      </w:r>
      <w:r>
        <w:rPr>
          <w:rFonts w:ascii="Times New Roman" w:hAnsi="Times New Roman"/>
          <w:color w:val="auto"/>
          <w:highlight w:val="none"/>
        </w:rPr>
        <w:t xml:space="preserve">27</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025"/>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"_Toc104818929" </w:instrText>
      </w:r>
      <w:r>
        <w:rPr>
          <w:color w:val="auto"/>
          <w:highlight w:val="none"/>
        </w:rPr>
        <w:fldChar w:fldCharType="separate"/>
      </w:r>
      <w:r>
        <w:rPr>
          <w:rStyle w:val="1049"/>
          <w:rFonts w:ascii="Times New Roman" w:hAnsi="Times New Roman"/>
          <w:color w:val="auto"/>
          <w:highlight w:val="none"/>
        </w:rPr>
        <w:t xml:space="preserve">第五章   合同草案条款</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_Toc104818929 \h </w:instrText>
      </w:r>
      <w:r>
        <w:rPr>
          <w:rFonts w:ascii="Times New Roman" w:hAnsi="Times New Roman"/>
          <w:color w:val="auto"/>
          <w:highlight w:val="none"/>
        </w:rPr>
        <w:fldChar w:fldCharType="separate"/>
      </w:r>
      <w:r>
        <w:rPr>
          <w:rFonts w:ascii="Times New Roman" w:hAnsi="Times New Roman"/>
          <w:color w:val="auto"/>
          <w:highlight w:val="none"/>
        </w:rPr>
        <w:t xml:space="preserve">27</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025"/>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"_Toc104818930" </w:instrText>
      </w:r>
      <w:r>
        <w:rPr>
          <w:color w:val="auto"/>
          <w:highlight w:val="none"/>
        </w:rPr>
        <w:fldChar w:fldCharType="separate"/>
      </w:r>
      <w:r>
        <w:rPr>
          <w:rStyle w:val="1049"/>
          <w:rFonts w:ascii="Times New Roman" w:hAnsi="Times New Roman"/>
          <w:color w:val="auto"/>
          <w:highlight w:val="none"/>
        </w:rPr>
        <w:t xml:space="preserve">第六章   响应文件格式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_Toc104818930 \h </w:instrText>
      </w:r>
      <w:r>
        <w:rPr>
          <w:rFonts w:ascii="Times New Roman" w:hAnsi="Times New Roman"/>
          <w:color w:val="auto"/>
          <w:highlight w:val="none"/>
        </w:rPr>
        <w:fldChar w:fldCharType="separate"/>
      </w:r>
      <w:r>
        <w:rPr>
          <w:rFonts w:ascii="Times New Roman" w:hAnsi="Times New Roman"/>
          <w:color w:val="auto"/>
          <w:highlight w:val="none"/>
        </w:rPr>
        <w:t xml:space="preserve">32</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025"/>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1025"/>
        <w:spacing w:line="360" w:lineRule="auto"/>
        <w:rPr>
          <w:rFonts w:ascii="Times New Roman" w:hAnsi="Times New Roman"/>
          <w:b w:val="0"/>
          <w:color w:val="auto"/>
          <w:sz w:val="36"/>
          <w:szCs w:val="36"/>
          <w:highlight w:val="none"/>
        </w:rPr>
      </w:pPr>
      <w:r>
        <w:rPr>
          <w:rFonts w:ascii="Times New Roman" w:hAnsi="Times New Roman"/>
          <w:b w:val="0"/>
          <w:color w:val="auto"/>
          <w:sz w:val="36"/>
          <w:szCs w:val="36"/>
          <w:highlight w:val="none"/>
        </w:rPr>
      </w:r>
      <w:r/>
    </w:p>
    <w:p>
      <w:pPr>
        <w:jc w:val="center"/>
        <w:spacing w:line="360" w:lineRule="auto"/>
        <w:rPr>
          <w:color w:val="auto"/>
          <w:sz w:val="24"/>
          <w:highlight w:val="none"/>
        </w:rPr>
        <w:outlineLvl w:val="0"/>
      </w:pPr>
      <w:r>
        <w:rPr>
          <w:b/>
          <w:color w:val="auto"/>
          <w:sz w:val="36"/>
          <w:szCs w:val="36"/>
          <w:highlight w:val="none"/>
        </w:rPr>
        <w:br w:type="page" w:clear="all"/>
      </w:r>
      <w:bookmarkStart w:id="1" w:name="_Toc104818925"/>
      <w:r>
        <w:rPr>
          <w:b/>
          <w:color w:val="auto"/>
          <w:sz w:val="36"/>
          <w:szCs w:val="36"/>
          <w:highlight w:val="none"/>
        </w:rPr>
        <w:t xml:space="preserve">第一章   采购邀请</w:t>
      </w:r>
      <w:bookmarkEnd w:id="1"/>
      <w:r/>
      <w:bookmarkStart w:id="2" w:name="_Toc35393790"/>
      <w:r/>
      <w:bookmarkStart w:id="3" w:name="_Toc28359079"/>
      <w:r/>
      <w:bookmarkStart w:id="4" w:name="_Toc35393621"/>
      <w:r/>
      <w:bookmarkStart w:id="5" w:name="_Toc28359002"/>
      <w:r/>
      <w:bookmarkStart w:id="6" w:name="_Hlk24379207"/>
      <w:r/>
      <w:r/>
    </w:p>
    <w:p>
      <w:pPr>
        <w:pStyle w:val="975"/>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eastAsia="宋体"/>
          <w:color w:val="auto"/>
          <w:sz w:val="24"/>
          <w:highlight w:val="none"/>
          <w:lang w:eastAsia="zh-CN"/>
        </w:rPr>
      </w:pPr>
      <w:r>
        <w:rPr>
          <w:color w:val="auto"/>
          <w:sz w:val="24"/>
          <w:highlight w:val="none"/>
        </w:rPr>
        <w:t xml:space="preserve">1.项目编号：JSZC-320481-LCGL-C2025-0079</w:t>
      </w:r>
      <w:r/>
    </w:p>
    <w:p>
      <w:pPr>
        <w:ind w:firstLine="480"/>
        <w:spacing w:line="360" w:lineRule="auto"/>
        <w:rPr>
          <w:rFonts w:hint="eastAsia" w:eastAsia="宋体"/>
          <w:color w:val="auto"/>
          <w:sz w:val="24"/>
          <w:highlight w:val="none"/>
          <w:lang w:eastAsia="zh-CN"/>
        </w:rPr>
      </w:pPr>
      <w:r>
        <w:rPr>
          <w:color w:val="auto"/>
          <w:sz w:val="24"/>
          <w:highlight w:val="none"/>
        </w:rPr>
        <w:t xml:space="preserve">2.项目名称：</w:t>
      </w:r>
      <w:r>
        <w:rPr>
          <w:rFonts w:hint="eastAsia"/>
          <w:color w:val="auto"/>
          <w:sz w:val="24"/>
          <w:highlight w:val="none"/>
          <w:lang w:eastAsia="zh-CN"/>
        </w:rPr>
        <w:t xml:space="preserve">天目湖镇度假区(迎宾大道以南、包含迎宾大道、平桥集镇及田家山工业园）绿化养护服务</w:t>
      </w:r>
      <w:r/>
    </w:p>
    <w:p>
      <w:pPr>
        <w:ind w:firstLine="480"/>
        <w:spacing w:line="360" w:lineRule="auto"/>
        <w:rPr>
          <w:color w:val="auto"/>
          <w:sz w:val="24"/>
          <w:highlight w:val="none"/>
        </w:rPr>
      </w:pPr>
      <w:r>
        <w:rPr>
          <w:color w:val="auto"/>
          <w:sz w:val="24"/>
          <w:highlight w:val="none"/>
        </w:rPr>
        <w:t xml:space="preserve">3.采购方式：竞争性磋商</w:t>
      </w:r>
      <w:bookmarkEnd w:id="6"/>
      <w:r/>
      <w:r/>
    </w:p>
    <w:p>
      <w:pPr>
        <w:ind w:firstLine="480"/>
        <w:spacing w:line="360" w:lineRule="auto"/>
        <w:rPr>
          <w:color w:val="auto"/>
          <w:sz w:val="24"/>
          <w:highlight w:val="none"/>
        </w:rPr>
      </w:pPr>
      <w:r>
        <w:rPr>
          <w:color w:val="auto"/>
          <w:sz w:val="24"/>
          <w:highlight w:val="none"/>
        </w:rPr>
        <w:t xml:space="preserve">4.项目预算金额：</w:t>
      </w:r>
      <w:r>
        <w:rPr>
          <w:rFonts w:hint="eastAsia"/>
          <w:color w:val="auto"/>
          <w:sz w:val="24"/>
          <w:highlight w:val="none"/>
          <w:lang w:val="en-US" w:eastAsia="zh-CN"/>
        </w:rPr>
        <w:t xml:space="preserve">215.69</w:t>
      </w:r>
      <w:r>
        <w:rPr>
          <w:color w:val="auto"/>
          <w:sz w:val="24"/>
          <w:highlight w:val="none"/>
        </w:rPr>
        <w:t xml:space="preserve">万元、</w:t>
      </w:r>
      <w:r>
        <w:rPr>
          <w:b/>
          <w:bCs/>
          <w:color w:val="auto"/>
          <w:sz w:val="24"/>
          <w:highlight w:val="none"/>
        </w:rPr>
        <w:t xml:space="preserve">项目最高限价：</w:t>
      </w:r>
      <w:r>
        <w:rPr>
          <w:rFonts w:hint="eastAsia" w:ascii="Times New Roman" w:eastAsia="宋体"/>
          <w:color w:val="auto"/>
          <w:sz w:val="24"/>
          <w:highlight w:val="none"/>
          <w:lang w:val="en-US" w:eastAsia="zh-CN"/>
        </w:rPr>
        <w:t xml:space="preserve">215.69</w:t>
      </w:r>
      <w:r>
        <w:rPr>
          <w:b/>
          <w:bCs/>
          <w:color w:val="auto"/>
          <w:sz w:val="24"/>
          <w:highlight w:val="none"/>
        </w:rPr>
        <w:t xml:space="preserve">万元</w:t>
      </w:r>
      <w:r/>
    </w:p>
    <w:p>
      <w:pPr>
        <w:ind w:firstLine="480"/>
        <w:spacing w:line="360" w:lineRule="auto"/>
        <w:rPr>
          <w:rFonts w:hint="default" w:ascii="Times New Roman" w:hAnsi="Times New Roman" w:cs="Times New Roman"/>
          <w:color w:val="auto"/>
          <w:sz w:val="24"/>
          <w:highlight w:val="none"/>
          <w:lang w:val="en-US" w:eastAsia="zh-CN"/>
        </w:rPr>
      </w:pPr>
      <w:r>
        <w:rPr>
          <w:color w:val="auto"/>
          <w:sz w:val="24"/>
          <w:highlight w:val="none"/>
        </w:rPr>
        <w:t xml:space="preserve">5.采购需</w:t>
      </w:r>
      <w:r>
        <w:rPr>
          <w:rFonts w:ascii="Times New Roman" w:hAnsi="Times New Roman" w:cs="Times New Roman"/>
          <w:color w:val="auto"/>
          <w:sz w:val="24"/>
          <w:highlight w:val="none"/>
        </w:rPr>
        <w:t xml:space="preserve">求：</w:t>
      </w:r>
      <w:r>
        <w:rPr>
          <w:rFonts w:hint="eastAsia" w:ascii="Times New Roman" w:hAnsi="Times New Roman" w:cs="Times New Roman"/>
          <w:color w:val="auto"/>
          <w:sz w:val="24"/>
          <w:highlight w:val="none"/>
          <w:lang w:val="en-US" w:eastAsia="zh-CN"/>
        </w:rPr>
        <w:t xml:space="preserve">对天目湖镇核心度假区（迎宾大道以南，包含迎宾大道、平桥集镇及田家山工业园）进行绿化管护，面积约为292015.9平方米。</w:t>
      </w:r>
      <w:r/>
    </w:p>
    <w:p>
      <w:pPr>
        <w:ind w:firstLine="480"/>
        <w:spacing w:line="360" w:lineRule="auto"/>
        <w:rPr>
          <w:rFonts w:hint="eastAsia"/>
          <w:color w:val="auto"/>
          <w:sz w:val="24"/>
          <w:highlight w:val="none"/>
        </w:rPr>
      </w:pPr>
      <w:r>
        <w:rPr>
          <w:rFonts w:hint="eastAsia"/>
          <w:color w:val="auto"/>
          <w:sz w:val="24"/>
          <w:highlight w:val="none"/>
        </w:rPr>
        <w:t xml:space="preserve">6.合同履行期限：1年。</w:t>
      </w:r>
      <w:r/>
    </w:p>
    <w:p>
      <w:pPr>
        <w:ind w:firstLine="480"/>
        <w:spacing w:line="360" w:lineRule="auto"/>
        <w:rPr>
          <w:color w:val="auto"/>
          <w:sz w:val="24"/>
          <w:highlight w:val="none"/>
        </w:rPr>
      </w:pPr>
      <w:r>
        <w:rPr>
          <w:color w:val="auto"/>
          <w:sz w:val="24"/>
          <w:highlight w:val="none"/>
        </w:rPr>
        <w:t xml:space="preserve">7.本项目是否接受联合体：否。</w:t>
      </w:r>
      <w:r/>
    </w:p>
    <w:p>
      <w:pPr>
        <w:pStyle w:val="975"/>
        <w:jc w:val="left"/>
        <w:spacing w:before="0" w:line="360" w:lineRule="auto"/>
        <w:rPr>
          <w:rFonts w:ascii="Times New Roman" w:hAnsi="Times New Roman" w:eastAsia="宋体"/>
          <w:color w:val="auto"/>
          <w:sz w:val="24"/>
          <w:szCs w:val="24"/>
          <w:highlight w:val="none"/>
        </w:rPr>
      </w:pPr>
      <w:r/>
      <w:bookmarkStart w:id="7" w:name="_Toc28359080"/>
      <w:r/>
      <w:bookmarkStart w:id="8" w:name="_Toc35393791"/>
      <w:r/>
      <w:bookmarkStart w:id="9" w:name="_Toc35393622"/>
      <w:r/>
      <w:bookmarkStart w:id="10" w:name="_Toc28359003"/>
      <w:r>
        <w:rPr>
          <w:rFonts w:ascii="Times New Roman" w:hAnsi="Times New Roman" w:eastAsia="宋体"/>
          <w:color w:val="auto"/>
          <w:sz w:val="24"/>
          <w:szCs w:val="24"/>
          <w:highlight w:val="none"/>
        </w:rPr>
        <w:t xml:space="preserve">二、申请人的资格要求（须同时满足）</w:t>
      </w:r>
      <w:bookmarkEnd w:id="7"/>
      <w:r/>
      <w:bookmarkEnd w:id="8"/>
      <w:r/>
      <w:bookmarkEnd w:id="9"/>
      <w:r/>
      <w:bookmarkEnd w:id="10"/>
      <w:r/>
      <w:r/>
    </w:p>
    <w:p>
      <w:pPr>
        <w:ind w:firstLine="480"/>
        <w:spacing w:line="360" w:lineRule="auto"/>
        <w:rPr>
          <w:color w:val="auto"/>
          <w:sz w:val="24"/>
          <w:highlight w:val="none"/>
        </w:rPr>
      </w:pPr>
      <w:r/>
      <w:bookmarkStart w:id="11" w:name="_Toc28359004"/>
      <w:r/>
      <w:bookmarkStart w:id="12" w:name="_Toc28359081"/>
      <w:r>
        <w:rPr>
          <w:color w:val="auto"/>
          <w:sz w:val="24"/>
          <w:highlight w:val="none"/>
        </w:rPr>
        <w:t xml:space="preserve">1.满足《中华人民共和国政府采购法》第二十二条规定以及下列情形：</w:t>
      </w:r>
      <w:r/>
    </w:p>
    <w:p>
      <w:pPr>
        <w:ind w:firstLine="480"/>
        <w:spacing w:line="360" w:lineRule="auto"/>
        <w:rPr>
          <w:color w:val="auto"/>
          <w:sz w:val="24"/>
          <w:highlight w:val="none"/>
        </w:rPr>
      </w:pPr>
      <w:r>
        <w:rPr>
          <w:color w:val="auto"/>
          <w:sz w:val="24"/>
          <w:highlight w:val="none"/>
        </w:rPr>
        <w:t xml:space="preserve">1.1未被</w:t>
      </w:r>
      <w:r>
        <w:rPr>
          <w:rFonts w:hint="eastAsia"/>
          <w:color w:val="auto"/>
          <w:sz w:val="24"/>
          <w:highlight w:val="none"/>
        </w:rPr>
        <w:t xml:space="preserve">“</w:t>
      </w:r>
      <w:r>
        <w:rPr>
          <w:color w:val="auto"/>
          <w:sz w:val="24"/>
          <w:highlight w:val="none"/>
        </w:rPr>
        <w:t xml:space="preserve">信用中国</w:t>
      </w:r>
      <w:r>
        <w:rPr>
          <w:rFonts w:hint="eastAsia"/>
          <w:color w:val="auto"/>
          <w:sz w:val="24"/>
          <w:highlight w:val="none"/>
        </w:rPr>
        <w:t xml:space="preserve">”</w:t>
      </w:r>
      <w:r>
        <w:rPr>
          <w:color w:val="auto"/>
          <w:sz w:val="24"/>
          <w:highlight w:val="none"/>
        </w:rPr>
        <w:t xml:space="preserve">网站（</w:t>
      </w:r>
      <w:r>
        <w:rPr>
          <w:rFonts w:hint="eastAsia"/>
          <w:color w:val="auto"/>
          <w:sz w:val="24"/>
          <w:highlight w:val="none"/>
        </w:rPr>
        <w:t xml:space="preserve">www</w:t>
      </w:r>
      <w:r>
        <w:rPr>
          <w:color w:val="auto"/>
          <w:sz w:val="24"/>
          <w:highlight w:val="none"/>
        </w:rPr>
        <w:t xml:space="preserve">.creditchina.gov.cn）</w:t>
      </w:r>
      <w:r>
        <w:rPr>
          <w:rFonts w:hint="eastAsia"/>
          <w:color w:val="auto"/>
          <w:sz w:val="24"/>
          <w:highlight w:val="none"/>
        </w:rPr>
        <w:t xml:space="preserve">、“</w:t>
      </w:r>
      <w:r>
        <w:rPr>
          <w:color w:val="auto"/>
          <w:sz w:val="24"/>
          <w:highlight w:val="none"/>
        </w:rPr>
        <w:t xml:space="preserve">中国政府采购网</w:t>
      </w:r>
      <w:r>
        <w:rPr>
          <w:rFonts w:hint="eastAsia"/>
          <w:color w:val="auto"/>
          <w:sz w:val="24"/>
          <w:highlight w:val="none"/>
        </w:rPr>
        <w:t xml:space="preserve">”</w:t>
      </w:r>
      <w:r>
        <w:rPr>
          <w:color w:val="auto"/>
          <w:sz w:val="24"/>
          <w:highlight w:val="none"/>
        </w:rPr>
        <w:t xml:space="preserve">网站（www.ccgp.gov.cn）列入失信被执行人、重大税收违法案件当事人名单、政府采购严重失信行为记录名单；</w:t>
      </w:r>
      <w:r/>
    </w:p>
    <w:p>
      <w:pPr>
        <w:numPr>
          <w:ilvl w:val="0"/>
          <w:numId w:val="8"/>
        </w:numPr>
        <w:ind w:firstLine="480"/>
        <w:spacing w:line="360" w:lineRule="auto"/>
        <w:rPr>
          <w:color w:val="auto"/>
          <w:sz w:val="24"/>
          <w:highlight w:val="none"/>
        </w:rPr>
      </w:pPr>
      <w:r>
        <w:rPr>
          <w:color w:val="auto"/>
          <w:sz w:val="24"/>
          <w:highlight w:val="none"/>
        </w:rPr>
        <w:t xml:space="preserve">1.2单位负责人为同一人或者存在直接控股、管理关系的不同供应商不得参加同一合同项下的政府采购活动。</w:t>
      </w:r>
      <w:r/>
    </w:p>
    <w:p>
      <w:pPr>
        <w:numPr>
          <w:ilvl w:val="0"/>
          <w:numId w:val="8"/>
        </w:numPr>
        <w:ind w:firstLine="480"/>
        <w:spacing w:line="360" w:lineRule="auto"/>
        <w:rPr>
          <w:color w:val="auto"/>
          <w:sz w:val="24"/>
          <w:highlight w:val="none"/>
        </w:rPr>
      </w:pPr>
      <w:r>
        <w:rPr>
          <w:color w:val="auto"/>
          <w:sz w:val="24"/>
          <w:highlight w:val="none"/>
        </w:rPr>
        <w:t xml:space="preserve">落实政府采购政策需满足的资格要求：</w:t>
      </w:r>
      <w:r>
        <w:rPr>
          <w:rFonts w:hint="eastAsia"/>
          <w:color w:val="auto"/>
          <w:sz w:val="24"/>
          <w:highlight w:val="none"/>
        </w:rPr>
        <w:t xml:space="preserve">本项目专门面向中小企业采购。即：提供的服务全部由符合政策要求的中小企业承接。监狱企业和残疾人福利单位视同小微企业</w:t>
      </w:r>
      <w:r>
        <w:rPr>
          <w:bCs/>
          <w:color w:val="auto"/>
          <w:sz w:val="24"/>
          <w:highlight w:val="none"/>
        </w:rPr>
        <w:t xml:space="preserve">。</w:t>
      </w:r>
      <w:r/>
    </w:p>
    <w:p>
      <w:pPr>
        <w:numPr>
          <w:ilvl w:val="0"/>
          <w:numId w:val="0"/>
        </w:numPr>
        <w:ind w:firstLine="480"/>
        <w:spacing w:line="360" w:lineRule="auto"/>
        <w:rPr>
          <w:color w:val="auto"/>
          <w:sz w:val="24"/>
          <w:highlight w:val="non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 本项目是否属于政府购买服务：是，公益一类事业单位、使用事业编制且由财政拨款保障的群团组织，不得作为承接主体；</w:t>
      </w:r>
      <w:r/>
    </w:p>
    <w:p>
      <w:pPr>
        <w:ind w:firstLine="480"/>
        <w:spacing w:line="360" w:lineRule="auto"/>
        <w:rPr>
          <w:b/>
          <w:color w:val="auto"/>
          <w:sz w:val="24"/>
          <w:highlight w:val="none"/>
        </w:rPr>
      </w:pPr>
      <w:r>
        <w:rPr>
          <w:color w:val="auto"/>
          <w:sz w:val="24"/>
          <w:highlight w:val="none"/>
        </w:rPr>
        <w:t xml:space="preserve">3.3其他特定资格要求：</w:t>
      </w:r>
      <w:bookmarkEnd w:id="11"/>
      <w:r/>
      <w:bookmarkEnd w:id="12"/>
      <w:r/>
      <w:bookmarkStart w:id="13" w:name="_Toc35393623"/>
      <w:r/>
      <w:bookmarkStart w:id="14" w:name="_Toc35393792"/>
      <w:r>
        <w:rPr>
          <w:rFonts w:hint="eastAsia"/>
          <w:color w:val="auto"/>
          <w:sz w:val="24"/>
          <w:highlight w:val="none"/>
          <w:lang w:val="en-US" w:eastAsia="zh-CN"/>
        </w:rPr>
        <w:t xml:space="preserve">/</w:t>
      </w:r>
      <w:r>
        <w:rPr>
          <w:b/>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三、获取</w:t>
      </w:r>
      <w:bookmarkEnd w:id="13"/>
      <w:r/>
      <w:bookmarkEnd w:id="14"/>
      <w:r>
        <w:rPr>
          <w:color w:val="auto"/>
          <w:sz w:val="24"/>
          <w:highlight w:val="none"/>
        </w:rPr>
        <w:t xml:space="preserve">竞争性磋商文件</w:t>
      </w:r>
      <w:r/>
    </w:p>
    <w:p>
      <w:pPr>
        <w:ind w:firstLine="480"/>
        <w:spacing w:line="360" w:lineRule="auto"/>
        <w:rPr>
          <w:color w:val="auto"/>
          <w:sz w:val="24"/>
          <w:highlight w:val="none"/>
        </w:rPr>
      </w:pPr>
      <w:r>
        <w:rPr>
          <w:color w:val="auto"/>
          <w:sz w:val="24"/>
          <w:highlight w:val="none"/>
          <w:lang w:bidi="ar"/>
        </w:rPr>
        <w:t xml:space="preserve">1.时间：</w:t>
      </w:r>
      <w:r>
        <w:rPr>
          <w:rFonts w:hint="eastAsia"/>
          <w:color w:val="auto"/>
          <w:sz w:val="24"/>
          <w:highlight w:val="none"/>
          <w:lang w:val="en-US" w:eastAsia="zh-CN" w:bidi="ar"/>
        </w:rPr>
        <w:t xml:space="preserve">磋商公告发布之日起5个工作日</w:t>
      </w:r>
      <w:r>
        <w:rPr>
          <w:color w:val="auto"/>
          <w:sz w:val="24"/>
          <w:highlight w:val="none"/>
          <w:lang w:bidi="ar"/>
        </w:rPr>
        <w:t xml:space="preserve">。</w:t>
      </w:r>
      <w:r/>
    </w:p>
    <w:p>
      <w:pPr>
        <w:ind w:firstLine="480"/>
        <w:jc w:val="left"/>
        <w:spacing w:line="360" w:lineRule="auto"/>
        <w:widowControl/>
        <w:rPr>
          <w:color w:val="auto"/>
          <w:sz w:val="24"/>
          <w:highlight w:val="none"/>
        </w:rPr>
      </w:pPr>
      <w:r>
        <w:rPr>
          <w:color w:val="auto"/>
          <w:sz w:val="24"/>
          <w:highlight w:val="none"/>
          <w:lang w:bidi="ar"/>
        </w:rPr>
        <w:t xml:space="preserve">2.地点：苏采云</w:t>
      </w:r>
      <w:r/>
    </w:p>
    <w:p>
      <w:pPr>
        <w:ind w:firstLine="480"/>
        <w:jc w:val="left"/>
        <w:spacing w:line="360" w:lineRule="auto"/>
        <w:widowControl/>
        <w:rPr>
          <w:color w:val="auto"/>
          <w:sz w:val="24"/>
          <w:highlight w:val="none"/>
        </w:rPr>
      </w:pPr>
      <w:r>
        <w:rPr>
          <w:color w:val="auto"/>
          <w:sz w:val="24"/>
          <w:highlight w:val="none"/>
          <w:lang w:bidi="ar"/>
        </w:rPr>
        <w:t xml:space="preserve">3.方式：供应商持CA数字认证证书登录“苏采云”系统获取电子版磋商文件。</w:t>
      </w:r>
      <w:r/>
    </w:p>
    <w:p>
      <w:pPr>
        <w:ind w:firstLine="480"/>
        <w:jc w:val="left"/>
        <w:spacing w:line="360" w:lineRule="auto"/>
        <w:widowControl/>
        <w:rPr>
          <w:color w:val="auto"/>
          <w:sz w:val="24"/>
          <w:highlight w:val="none"/>
        </w:rPr>
      </w:pPr>
      <w:r>
        <w:rPr>
          <w:color w:val="auto"/>
          <w:sz w:val="24"/>
          <w:highlight w:val="none"/>
          <w:lang w:bidi="ar"/>
        </w:rPr>
        <w:t xml:space="preserve">4.售价：0元。</w:t>
      </w:r>
      <w:r/>
    </w:p>
    <w:p>
      <w:pPr>
        <w:ind w:left="840"/>
        <w:spacing w:line="360" w:lineRule="auto"/>
        <w:tabs>
          <w:tab w:val="left" w:pos="900" w:leader="none"/>
          <w:tab w:val="left" w:pos="1980" w:leader="none"/>
        </w:tabs>
        <w:rPr>
          <w:color w:val="auto"/>
          <w:sz w:val="24"/>
          <w:highlight w:val="none"/>
        </w:rPr>
      </w:pPr>
      <w:r>
        <w:rPr>
          <w:color w:val="auto"/>
          <w:sz w:val="24"/>
          <w:highlight w:val="none"/>
        </w:rPr>
      </w:r>
      <w:r/>
    </w:p>
    <w:p>
      <w:pPr>
        <w:pStyle w:val="975"/>
        <w:jc w:val="left"/>
        <w:spacing w:before="0" w:line="360" w:lineRule="auto"/>
        <w:widowControl/>
        <w:rPr>
          <w:rFonts w:ascii="Times New Roman" w:hAnsi="Times New Roman" w:eastAsia="宋体"/>
          <w:color w:val="auto"/>
          <w:sz w:val="24"/>
          <w:szCs w:val="24"/>
          <w:highlight w:val="none"/>
        </w:rPr>
      </w:pPr>
      <w:r/>
      <w:bookmarkStart w:id="15" w:name="_Toc35393624"/>
      <w:r/>
      <w:bookmarkStart w:id="16" w:name="_Toc28359082"/>
      <w:r/>
      <w:bookmarkStart w:id="17" w:name="_Toc35393793"/>
      <w:r/>
      <w:bookmarkStart w:id="18" w:name="_Toc28359005"/>
      <w:r>
        <w:rPr>
          <w:rFonts w:ascii="Times New Roman" w:hAnsi="Times New Roman" w:eastAsia="宋体"/>
          <w:color w:val="auto"/>
          <w:sz w:val="24"/>
          <w:szCs w:val="24"/>
          <w:highlight w:val="none"/>
        </w:rPr>
        <w:t xml:space="preserve">四、</w:t>
      </w:r>
      <w:bookmarkEnd w:id="15"/>
      <w:r/>
      <w:bookmarkEnd w:id="16"/>
      <w:r/>
      <w:bookmarkEnd w:id="17"/>
      <w:r/>
      <w:bookmarkEnd w:id="18"/>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rPr>
          <w:color w:val="auto"/>
          <w:sz w:val="24"/>
          <w:highlight w:val="none"/>
          <w:lang w:bidi="ar"/>
        </w:rPr>
        <w:t xml:space="preserve">截止时间：</w:t>
      </w:r>
      <w:r>
        <w:rPr>
          <w:rFonts w:hint="eastAsia"/>
          <w:color w:val="auto"/>
          <w:sz w:val="24"/>
          <w:highlight w:val="none"/>
        </w:rPr>
        <w:t xml:space="preserve">2025</w:t>
      </w:r>
      <w:r>
        <w:rPr>
          <w:color w:val="auto"/>
          <w:sz w:val="24"/>
          <w:highlight w:val="none"/>
          <w:lang w:bidi="ar"/>
        </w:rPr>
        <w:t xml:space="preserve">年</w:t>
      </w:r>
      <w:r>
        <w:rPr>
          <w:rFonts w:hint="eastAsia"/>
          <w:color w:val="auto"/>
          <w:sz w:val="24"/>
          <w:highlight w:val="none"/>
          <w:lang w:val="en-US" w:eastAsia="zh-CN" w:bidi="ar"/>
        </w:rPr>
        <w:t xml:space="preserve">12</w:t>
      </w:r>
      <w:r>
        <w:rPr>
          <w:color w:val="auto"/>
          <w:sz w:val="24"/>
          <w:highlight w:val="none"/>
          <w:lang w:bidi="ar"/>
        </w:rPr>
        <w:t xml:space="preserve">月</w:t>
      </w:r>
      <w:r>
        <w:rPr>
          <w:rFonts w:hint="eastAsia"/>
          <w:color w:val="auto"/>
          <w:sz w:val="24"/>
          <w:highlight w:val="none"/>
          <w:lang w:val="en-US" w:eastAsia="zh-CN" w:bidi="ar"/>
        </w:rPr>
        <w:t xml:space="preserve">26</w:t>
      </w:r>
      <w:r>
        <w:rPr>
          <w:color w:val="auto"/>
          <w:sz w:val="24"/>
          <w:highlight w:val="none"/>
          <w:lang w:bidi="ar"/>
        </w:rPr>
        <w:t xml:space="preserve">日</w:t>
      </w:r>
      <w:r>
        <w:rPr>
          <w:color w:val="auto"/>
          <w:sz w:val="24"/>
          <w:highlight w:val="none"/>
        </w:rPr>
        <w:t xml:space="preserve">09</w:t>
      </w:r>
      <w:r>
        <w:rPr>
          <w:color w:val="auto"/>
          <w:sz w:val="24"/>
          <w:highlight w:val="none"/>
          <w:lang w:bidi="ar"/>
        </w:rPr>
        <w:t xml:space="preserve">点</w:t>
      </w:r>
      <w:r>
        <w:rPr>
          <w:color w:val="auto"/>
          <w:sz w:val="24"/>
          <w:highlight w:val="none"/>
        </w:rPr>
        <w:t xml:space="preserve">30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color w:val="auto"/>
          <w:sz w:val="24"/>
          <w:highlight w:val="none"/>
        </w:rPr>
        <w:t xml:space="preserve">本项目采用不见面交易方式，无需到现场提交，供应商登录</w:t>
      </w:r>
      <w:r>
        <w:rPr>
          <w:color w:val="auto"/>
          <w:sz w:val="24"/>
          <w:highlight w:val="none"/>
          <w:lang w:bidi="ar"/>
        </w:rPr>
        <w:t xml:space="preserve">“苏采云”</w:t>
      </w:r>
      <w:r>
        <w:rPr>
          <w:color w:val="auto"/>
          <w:sz w:val="24"/>
          <w:highlight w:val="none"/>
        </w:rPr>
        <w:t xml:space="preserve">供应商端，通过系统在线提交电子响应文件</w:t>
      </w:r>
      <w:r>
        <w:rPr>
          <w:color w:val="auto"/>
          <w:sz w:val="24"/>
          <w:highlight w:val="none"/>
          <w:lang w:val="zh-TW" w:bidi="ar"/>
        </w:rPr>
        <w:t xml:space="preserve">。</w:t>
      </w:r>
      <w:r/>
    </w:p>
    <w:p>
      <w:pPr>
        <w:ind w:firstLine="480"/>
        <w:spacing w:line="360" w:lineRule="auto"/>
        <w:rPr>
          <w:color w:val="auto"/>
          <w:sz w:val="24"/>
          <w:highlight w:val="none"/>
        </w:rPr>
      </w:pPr>
      <w:r>
        <w:rPr>
          <w:color w:val="auto"/>
          <w:sz w:val="24"/>
          <w:highlight w:val="none"/>
        </w:rPr>
      </w:r>
      <w:r/>
    </w:p>
    <w:p>
      <w:pPr>
        <w:pStyle w:val="975"/>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color w:val="auto"/>
          <w:sz w:val="24"/>
          <w:highlight w:val="none"/>
          <w:lang w:bidi="ar"/>
        </w:rPr>
        <w:t xml:space="preserve">时间：</w:t>
      </w:r>
      <w:r>
        <w:rPr>
          <w:rFonts w:hint="eastAsia"/>
          <w:color w:val="auto"/>
          <w:sz w:val="24"/>
          <w:highlight w:val="none"/>
        </w:rPr>
        <w:t xml:space="preserve">2025</w:t>
      </w:r>
      <w:r>
        <w:rPr>
          <w:color w:val="auto"/>
          <w:sz w:val="24"/>
          <w:highlight w:val="none"/>
          <w:lang w:bidi="ar"/>
        </w:rPr>
        <w:t xml:space="preserve">年</w:t>
      </w:r>
      <w:r>
        <w:rPr>
          <w:rFonts w:hint="eastAsia"/>
          <w:color w:val="auto"/>
          <w:sz w:val="24"/>
          <w:highlight w:val="none"/>
          <w:lang w:val="en-US" w:eastAsia="zh-CN" w:bidi="ar"/>
        </w:rPr>
        <w:t xml:space="preserve">12</w:t>
      </w:r>
      <w:r>
        <w:rPr>
          <w:color w:val="auto"/>
          <w:sz w:val="24"/>
          <w:highlight w:val="none"/>
          <w:lang w:bidi="ar"/>
        </w:rPr>
        <w:t xml:space="preserve">月</w:t>
      </w:r>
      <w:r>
        <w:rPr>
          <w:rFonts w:hint="eastAsia"/>
          <w:color w:val="auto"/>
          <w:sz w:val="24"/>
          <w:highlight w:val="none"/>
          <w:lang w:val="en-US" w:eastAsia="zh-CN" w:bidi="ar"/>
        </w:rPr>
        <w:t xml:space="preserve">26</w:t>
      </w:r>
      <w:r>
        <w:rPr>
          <w:color w:val="auto"/>
          <w:sz w:val="24"/>
          <w:highlight w:val="none"/>
          <w:lang w:bidi="ar"/>
        </w:rPr>
        <w:t xml:space="preserve">日</w:t>
      </w:r>
      <w:r>
        <w:rPr>
          <w:color w:val="auto"/>
          <w:sz w:val="24"/>
          <w:highlight w:val="none"/>
        </w:rPr>
        <w:t xml:space="preserve">09</w:t>
      </w:r>
      <w:r>
        <w:rPr>
          <w:color w:val="auto"/>
          <w:sz w:val="24"/>
          <w:highlight w:val="none"/>
          <w:lang w:bidi="ar"/>
        </w:rPr>
        <w:t xml:space="preserve">点</w:t>
      </w:r>
      <w:r>
        <w:rPr>
          <w:color w:val="auto"/>
          <w:sz w:val="24"/>
          <w:highlight w:val="none"/>
        </w:rPr>
        <w:t xml:space="preserve">30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color w:val="auto"/>
          <w:sz w:val="24"/>
          <w:highlight w:val="none"/>
        </w:rPr>
        <w:t xml:space="preserve">本项目采用不见面交易方式，供应商登录</w:t>
      </w:r>
      <w:r>
        <w:rPr>
          <w:color w:val="auto"/>
          <w:sz w:val="24"/>
          <w:highlight w:val="none"/>
          <w:lang w:bidi="ar"/>
        </w:rPr>
        <w:t xml:space="preserve">“苏采云”</w:t>
      </w:r>
      <w:r>
        <w:rPr>
          <w:color w:val="auto"/>
          <w:sz w:val="24"/>
          <w:highlight w:val="none"/>
        </w:rPr>
        <w:t xml:space="preserve">供应商端，通过系统在线解密电子响应文件</w:t>
      </w:r>
      <w:r>
        <w:rPr>
          <w:color w:val="auto"/>
          <w:sz w:val="24"/>
          <w:highlight w:val="none"/>
          <w:lang w:val="zh-TW" w:bidi="ar"/>
        </w:rPr>
        <w:t xml:space="preserve">。</w:t>
      </w:r>
      <w:r/>
    </w:p>
    <w:p>
      <w:pPr>
        <w:ind w:firstLine="480"/>
        <w:spacing w:line="360" w:lineRule="auto"/>
        <w:rPr>
          <w:bCs/>
          <w:color w:val="auto"/>
          <w:sz w:val="24"/>
          <w:highlight w:val="none"/>
          <w:u w:val="single"/>
        </w:rPr>
      </w:pPr>
      <w:r>
        <w:rPr>
          <w:bCs/>
          <w:color w:val="auto"/>
          <w:sz w:val="24"/>
          <w:highlight w:val="none"/>
          <w:u w:val="single"/>
        </w:rPr>
      </w:r>
      <w:r/>
    </w:p>
    <w:p>
      <w:pPr>
        <w:pStyle w:val="975"/>
        <w:jc w:val="left"/>
        <w:spacing w:before="0" w:line="360" w:lineRule="auto"/>
        <w:rPr>
          <w:rFonts w:ascii="Times New Roman" w:hAnsi="Times New Roman" w:eastAsia="宋体"/>
          <w:color w:val="auto"/>
          <w:sz w:val="24"/>
          <w:szCs w:val="24"/>
          <w:highlight w:val="none"/>
        </w:rPr>
      </w:pPr>
      <w:r/>
      <w:bookmarkStart w:id="19" w:name="_Toc28359007"/>
      <w:r/>
      <w:bookmarkStart w:id="20" w:name="_Toc35393625"/>
      <w:r/>
      <w:bookmarkStart w:id="21" w:name="_Toc28359084"/>
      <w:r/>
      <w:bookmarkStart w:id="22" w:name="_Toc35393794"/>
      <w:r>
        <w:rPr>
          <w:rFonts w:ascii="Times New Roman" w:hAnsi="Times New Roman" w:eastAsia="宋体"/>
          <w:color w:val="auto"/>
          <w:sz w:val="24"/>
          <w:szCs w:val="24"/>
          <w:highlight w:val="none"/>
        </w:rPr>
        <w:t xml:space="preserve">六、公告期限</w:t>
      </w:r>
      <w:bookmarkEnd w:id="19"/>
      <w:r/>
      <w:bookmarkEnd w:id="20"/>
      <w:r/>
      <w:bookmarkEnd w:id="21"/>
      <w:r/>
      <w:bookmarkEnd w:id="22"/>
      <w:r/>
      <w:r/>
    </w:p>
    <w:p>
      <w:pPr>
        <w:ind w:firstLine="480"/>
        <w:spacing w:line="360" w:lineRule="auto"/>
        <w:rPr>
          <w:color w:val="auto"/>
          <w:sz w:val="24"/>
          <w:highlight w:val="none"/>
        </w:rPr>
      </w:pPr>
      <w:r>
        <w:rPr>
          <w:color w:val="auto"/>
          <w:sz w:val="24"/>
          <w:highlight w:val="none"/>
        </w:rPr>
        <w:t xml:space="preserve">自本公告发布之日起3个工作日。</w:t>
      </w:r>
      <w:r/>
    </w:p>
    <w:p>
      <w:pPr>
        <w:ind w:firstLine="480"/>
        <w:spacing w:line="360" w:lineRule="auto"/>
        <w:rPr>
          <w:color w:val="auto"/>
          <w:sz w:val="24"/>
          <w:highlight w:val="none"/>
        </w:rPr>
      </w:pPr>
      <w:r>
        <w:rPr>
          <w:color w:val="auto"/>
          <w:sz w:val="24"/>
          <w:highlight w:val="none"/>
        </w:rPr>
      </w:r>
      <w:r/>
    </w:p>
    <w:p>
      <w:pPr>
        <w:pStyle w:val="975"/>
        <w:jc w:val="left"/>
        <w:spacing w:before="0" w:line="360" w:lineRule="auto"/>
        <w:rPr>
          <w:rFonts w:ascii="Times New Roman" w:hAnsi="Times New Roman" w:eastAsia="宋体"/>
          <w:color w:val="auto"/>
          <w:sz w:val="24"/>
          <w:szCs w:val="24"/>
          <w:highlight w:val="none"/>
        </w:rPr>
      </w:pPr>
      <w:r/>
      <w:bookmarkStart w:id="23" w:name="_Toc35393795"/>
      <w:r/>
      <w:bookmarkStart w:id="24" w:name="_Toc35393626"/>
      <w:r>
        <w:rPr>
          <w:rFonts w:ascii="Times New Roman" w:hAnsi="Times New Roman" w:eastAsia="宋体"/>
          <w:color w:val="auto"/>
          <w:sz w:val="24"/>
          <w:szCs w:val="24"/>
          <w:highlight w:val="none"/>
        </w:rPr>
        <w:t xml:space="preserve">七、其他补充事宜</w:t>
      </w:r>
      <w:bookmarkEnd w:id="23"/>
      <w:r/>
      <w:bookmarkEnd w:id="24"/>
      <w:r/>
      <w:r/>
    </w:p>
    <w:p>
      <w:pPr>
        <w:ind w:firstLine="480"/>
        <w:jc w:val="left"/>
        <w:spacing w:line="360" w:lineRule="auto"/>
        <w:widowControl/>
        <w:rPr>
          <w:color w:val="auto"/>
          <w:sz w:val="24"/>
          <w:highlight w:val="none"/>
        </w:rPr>
      </w:pPr>
      <w:r>
        <w:rPr>
          <w:color w:val="auto"/>
          <w:sz w:val="24"/>
          <w:highlight w:val="none"/>
        </w:rPr>
        <w:t xml:space="preserve">1.本项目需要落实的政府采购政策：扶持中小微企业，监狱企业和残疾人福利性单位视同小微企业。</w:t>
      </w:r>
      <w:r/>
    </w:p>
    <w:p>
      <w:pPr>
        <w:ind w:firstLine="480"/>
        <w:jc w:val="left"/>
        <w:spacing w:line="360" w:lineRule="auto"/>
        <w:widowControl/>
        <w:rPr>
          <w:color w:val="auto"/>
          <w:sz w:val="24"/>
          <w:highlight w:val="none"/>
        </w:rPr>
      </w:pPr>
      <w:r>
        <w:rPr>
          <w:color w:val="auto"/>
          <w:sz w:val="24"/>
          <w:highlight w:val="none"/>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rPr>
          <w:color w:val="auto"/>
          <w:sz w:val="24"/>
          <w:highlight w:val="none"/>
        </w:rPr>
        <w:br w:type="textWrapping" w:clear="all"/>
      </w:r>
      <w:r>
        <w:rPr>
          <w:color w:val="auto"/>
          <w:sz w:val="24"/>
          <w:highlight w:val="none"/>
        </w:rPr>
        <w:t xml:space="preserve">    技术支持服务热线    0519-85588210</w:t>
      </w:r>
      <w:r>
        <w:rPr>
          <w:color w:val="auto"/>
          <w:sz w:val="24"/>
          <w:highlight w:val="none"/>
        </w:rPr>
        <w:br w:type="textWrapping" w:clear="all"/>
      </w:r>
      <w:r>
        <w:rPr>
          <w:color w:val="auto"/>
          <w:sz w:val="24"/>
          <w:highlight w:val="none"/>
        </w:rPr>
        <w:t xml:space="preserve">    CA认证证书办理（可邮寄）联系电话   0519-85588120</w:t>
      </w:r>
      <w:r>
        <w:rPr>
          <w:color w:val="auto"/>
          <w:sz w:val="24"/>
          <w:highlight w:val="none"/>
        </w:rPr>
        <w:br w:type="textWrapping" w:clear="all"/>
      </w:r>
      <w:r>
        <w:rPr>
          <w:color w:val="auto"/>
          <w:sz w:val="24"/>
          <w:highlight w:val="none"/>
        </w:rPr>
        <w:t xml:space="preserve">    2.1办理CA认证证书</w:t>
      </w:r>
      <w:r>
        <w:rPr>
          <w:color w:val="auto"/>
          <w:sz w:val="24"/>
          <w:highlight w:val="none"/>
        </w:rPr>
        <w:br w:type="textWrapping" w:clear="all"/>
      </w:r>
      <w:r>
        <w:rPr>
          <w:color w:val="auto"/>
          <w:sz w:val="24"/>
          <w:highlight w:val="none"/>
        </w:rPr>
        <w:t xml:space="preserve">    供应商登录常州市政府采购网“下载中心”下载并查阅 “江苏省政府采购数字证书CA及电子签章办理指南”，按照程序要求办理。</w:t>
      </w:r>
      <w:r>
        <w:rPr>
          <w:color w:val="auto"/>
          <w:sz w:val="24"/>
          <w:highlight w:val="none"/>
        </w:rPr>
        <w:br w:type="textWrapping" w:clear="all"/>
      </w:r>
      <w:r>
        <w:rPr>
          <w:color w:val="auto"/>
          <w:sz w:val="24"/>
          <w:highlight w:val="none"/>
        </w:rPr>
        <w:t xml:space="preserve">    2.2注册</w:t>
      </w:r>
      <w:r>
        <w:rPr>
          <w:color w:val="auto"/>
          <w:sz w:val="24"/>
          <w:highlight w:val="none"/>
        </w:rPr>
        <w:br w:type="textWrapping" w:clear="all"/>
      </w:r>
      <w:r>
        <w:rPr>
          <w:color w:val="auto"/>
          <w:sz w:val="24"/>
          <w:highlight w:val="none"/>
        </w:rPr>
        <w:t xml:space="preserve">    供应商登录常州市政府采购网“下载中心”-““苏采云”系统供应商操作手册”下载相关操作手册、操作视频等，查阅后进行自助注册。</w:t>
      </w:r>
      <w:r>
        <w:rPr>
          <w:color w:val="auto"/>
          <w:sz w:val="24"/>
          <w:highlight w:val="none"/>
        </w:rPr>
        <w:br w:type="textWrapping" w:clear="all"/>
      </w:r>
      <w:r>
        <w:rPr>
          <w:color w:val="auto"/>
          <w:sz w:val="24"/>
          <w:highlight w:val="none"/>
        </w:rPr>
        <w:t xml:space="preserve">    2.3控件、客户端下载</w:t>
      </w:r>
      <w:r>
        <w:rPr>
          <w:color w:val="auto"/>
          <w:sz w:val="24"/>
          <w:highlight w:val="none"/>
        </w:rPr>
        <w:br w:type="textWrapping" w:clear="all"/>
      </w:r>
      <w:r>
        <w:rPr>
          <w:color w:val="auto"/>
          <w:sz w:val="24"/>
          <w:highlight w:val="none"/>
        </w:rPr>
        <w:t xml:space="preserve">    供应商登录常州市政府采购网“下载中心”-“政府采购管理交易系统（苏采云）CA及签章控件驱动”下载相关控件和客户端。</w:t>
      </w:r>
      <w:r>
        <w:rPr>
          <w:color w:val="auto"/>
          <w:sz w:val="24"/>
          <w:highlight w:val="none"/>
        </w:rPr>
        <w:br w:type="textWrapping" w:clear="all"/>
      </w:r>
      <w:r>
        <w:rPr>
          <w:color w:val="auto"/>
          <w:sz w:val="24"/>
          <w:highlight w:val="none"/>
        </w:rPr>
        <w:t xml:space="preserve">    2.4 获取电子磋商文件</w:t>
      </w:r>
      <w:r>
        <w:rPr>
          <w:color w:val="auto"/>
          <w:sz w:val="24"/>
          <w:highlight w:val="none"/>
        </w:rPr>
        <w:br w:type="textWrapping" w:clear="all"/>
      </w:r>
      <w:r>
        <w:rPr>
          <w:color w:val="auto"/>
          <w:sz w:val="24"/>
          <w:highlight w:val="none"/>
        </w:rPr>
        <w:t xml:space="preserve">    供应商持CA数字认证证书登录“苏采云”获取电子磋商文件。未在规定期限内通过“苏采云”获取磋商文件的响应无效。</w:t>
      </w:r>
      <w:r>
        <w:rPr>
          <w:color w:val="auto"/>
          <w:sz w:val="24"/>
          <w:highlight w:val="none"/>
        </w:rPr>
        <w:br w:type="textWrapping" w:clear="all"/>
      </w:r>
      <w:r>
        <w:rPr>
          <w:color w:val="auto"/>
          <w:sz w:val="24"/>
          <w:highlight w:val="none"/>
        </w:rPr>
        <w:t xml:space="preserve">    2.5编制电子响应文件</w:t>
      </w:r>
      <w:r>
        <w:rPr>
          <w:color w:val="auto"/>
          <w:sz w:val="24"/>
          <w:highlight w:val="none"/>
        </w:rPr>
        <w:br w:type="textWrapping" w:clear="all"/>
      </w:r>
      <w:r>
        <w:rPr>
          <w:color w:val="auto"/>
          <w:sz w:val="24"/>
          <w:highlight w:val="none"/>
        </w:rPr>
        <w:t xml:space="preserve">    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color w:val="auto"/>
          <w:sz w:val="24"/>
          <w:highlight w:val="none"/>
        </w:rPr>
        <w:br w:type="textWrapping" w:clear="all"/>
      </w:r>
      <w:r>
        <w:rPr>
          <w:color w:val="auto"/>
          <w:sz w:val="24"/>
          <w:highlight w:val="none"/>
        </w:rPr>
        <w:t xml:space="preserve">    2.6提交电子响应文件</w:t>
      </w:r>
      <w:r>
        <w:rPr>
          <w:color w:val="auto"/>
          <w:sz w:val="24"/>
          <w:highlight w:val="none"/>
        </w:rPr>
        <w:br w:type="textWrapping" w:clear="all"/>
      </w:r>
      <w:r>
        <w:rPr>
          <w:color w:val="auto"/>
          <w:sz w:val="24"/>
          <w:highlight w:val="none"/>
        </w:rPr>
        <w:t xml:space="preserve">    供应商应于响应截止时间前在“苏采云”提交电子响应文件，上传电子响应文件过程中请保持与互联网的连接畅通。</w:t>
      </w:r>
      <w:r>
        <w:rPr>
          <w:color w:val="auto"/>
          <w:sz w:val="24"/>
          <w:highlight w:val="none"/>
        </w:rPr>
        <w:br w:type="textWrapping" w:clear="all"/>
      </w:r>
      <w:r>
        <w:rPr>
          <w:color w:val="auto"/>
          <w:sz w:val="24"/>
          <w:highlight w:val="none"/>
        </w:rPr>
        <w:t xml:space="preserve">    2.7电子开标</w:t>
      </w:r>
      <w:r>
        <w:rPr>
          <w:color w:val="auto"/>
          <w:sz w:val="24"/>
          <w:highlight w:val="none"/>
        </w:rPr>
        <w:br w:type="textWrapping" w:clear="all"/>
      </w:r>
      <w:r>
        <w:rPr>
          <w:color w:val="auto"/>
          <w:sz w:val="24"/>
          <w:highlight w:val="none"/>
        </w:rPr>
        <w:t xml:space="preserve">    供应商使用CA认证证书登录“苏采云”进行电子化不见面开标。</w:t>
      </w:r>
      <w:r>
        <w:rPr>
          <w:color w:val="auto"/>
          <w:sz w:val="24"/>
          <w:highlight w:val="none"/>
        </w:rPr>
        <w:br w:type="textWrapping" w:clear="all"/>
      </w:r>
      <w:r>
        <w:rPr>
          <w:color w:val="auto"/>
          <w:sz w:val="24"/>
          <w:highlight w:val="none"/>
        </w:rPr>
        <w:t xml:space="preserve">    2.8注意事项</w:t>
      </w:r>
      <w:r>
        <w:rPr>
          <w:color w:val="auto"/>
          <w:sz w:val="24"/>
          <w:highlight w:val="none"/>
        </w:rPr>
        <w:br w:type="textWrapping" w:clear="all"/>
      </w:r>
      <w:r>
        <w:rPr>
          <w:color w:val="auto"/>
          <w:sz w:val="24"/>
          <w:highlight w:val="none"/>
        </w:rPr>
        <w:t xml:space="preserve">    供应商在开标前应当使用“验证CA”功能验证本地计算机的控件环境是否正常，并且在开标、评审过程中不可随意更换计算机，必须使用验证成功的计算机进行操作，否则造成相应后果由供应商自行承担。</w:t>
      </w:r>
      <w:r/>
    </w:p>
    <w:p>
      <w:pPr>
        <w:ind w:left="479"/>
        <w:jc w:val="left"/>
        <w:spacing w:line="360" w:lineRule="auto"/>
        <w:widowControl/>
        <w:rPr>
          <w:color w:val="auto"/>
          <w:sz w:val="24"/>
          <w:highlight w:val="none"/>
        </w:rPr>
      </w:pPr>
      <w:r>
        <w:rPr>
          <w:color w:val="auto"/>
          <w:sz w:val="24"/>
          <w:highlight w:val="none"/>
        </w:rPr>
        <w:t xml:space="preserve">3.关于常州市中小企业政府采购信用融资：</w:t>
      </w:r>
      <w:r/>
    </w:p>
    <w:p>
      <w:pPr>
        <w:ind w:firstLine="480"/>
        <w:jc w:val="left"/>
        <w:spacing w:line="360" w:lineRule="auto"/>
        <w:widowControl/>
        <w:rPr>
          <w:color w:val="auto"/>
          <w:sz w:val="24"/>
          <w:highlight w:val="none"/>
        </w:rPr>
      </w:pPr>
      <w:r>
        <w:rPr>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color w:val="auto"/>
          <w:sz w:val="24"/>
          <w:highlight w:val="none"/>
          <w:lang w:val="zh-TW" w:bidi="ar"/>
        </w:rPr>
        <w:t xml:space="preserve">。</w:t>
      </w:r>
      <w:r/>
    </w:p>
    <w:p>
      <w:pPr>
        <w:pStyle w:val="975"/>
        <w:jc w:val="left"/>
        <w:spacing w:before="0" w:line="360" w:lineRule="auto"/>
        <w:rPr>
          <w:rFonts w:ascii="Times New Roman" w:hAnsi="Times New Roman" w:eastAsia="宋体"/>
          <w:color w:val="auto"/>
          <w:sz w:val="24"/>
          <w:szCs w:val="24"/>
          <w:highlight w:val="none"/>
        </w:rPr>
      </w:pPr>
      <w:r/>
      <w:bookmarkStart w:id="25" w:name="_Toc35393796"/>
      <w:r/>
      <w:bookmarkStart w:id="26" w:name="_Toc28359008"/>
      <w:r/>
      <w:bookmarkStart w:id="27" w:name="_Toc28359085"/>
      <w:r/>
      <w:bookmarkStart w:id="28" w:name="_Toc35393627"/>
      <w:r>
        <w:rPr>
          <w:rFonts w:ascii="Times New Roman" w:hAnsi="Times New Roman" w:eastAsia="宋体"/>
          <w:color w:val="auto"/>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rFonts w:hint="eastAsia" w:ascii="宋体" w:hAnsi="宋体" w:cs="宋体"/>
          <w:b/>
          <w:color w:val="auto"/>
          <w:sz w:val="24"/>
          <w:highlight w:val="none"/>
        </w:rPr>
      </w:pPr>
      <w:r>
        <w:rPr>
          <w:color w:val="auto"/>
          <w:sz w:val="24"/>
          <w:highlight w:val="none"/>
        </w:rPr>
        <w:t xml:space="preserve">　　</w:t>
      </w:r>
      <w:r>
        <w:rPr>
          <w:rFonts w:hint="eastAsia" w:ascii="宋体" w:hAnsi="宋体" w:cs="宋体"/>
          <w:b/>
          <w:color w:val="auto"/>
          <w:sz w:val="24"/>
          <w:highlight w:val="none"/>
        </w:rPr>
        <w:t xml:space="preserve">1.采购人信息</w:t>
      </w:r>
      <w:r/>
    </w:p>
    <w:p>
      <w:pPr>
        <w:ind w:firstLine="480"/>
        <w:jc w:val="left"/>
        <w:spacing w:line="360" w:lineRule="auto"/>
        <w:rPr>
          <w:rFonts w:hint="eastAsia" w:ascii="宋体" w:hAnsi="宋体" w:cs="宋体"/>
          <w:color w:val="auto"/>
          <w:sz w:val="24"/>
          <w:highlight w:val="none"/>
        </w:rPr>
      </w:pPr>
      <w:r/>
      <w:bookmarkStart w:id="29" w:name="_Toc28359086"/>
      <w:r/>
      <w:bookmarkStart w:id="30" w:name="_Toc28359009"/>
      <w:r>
        <w:rPr>
          <w:rFonts w:hint="eastAsia" w:ascii="宋体" w:hAnsi="宋体" w:cs="宋体"/>
          <w:color w:val="auto"/>
          <w:sz w:val="24"/>
          <w:highlight w:val="none"/>
        </w:rPr>
        <w:t xml:space="preserve">名    称：溧阳市天目湖镇人民政府</w:t>
      </w:r>
      <w:r>
        <w:rPr>
          <w:rFonts w:hint="eastAsia" w:ascii="宋体" w:hAnsi="宋体" w:cs="宋体"/>
          <w:color w:val="auto"/>
          <w:sz w:val="24"/>
          <w:highlight w:val="none"/>
        </w:rPr>
        <w:tab/>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    址：</w:t>
      </w:r>
      <w:r>
        <w:rPr>
          <w:rFonts w:hint="eastAsia"/>
          <w:color w:val="auto"/>
          <w:sz w:val="24"/>
          <w:highlight w:val="none"/>
          <w:lang w:eastAsia="zh-CN"/>
        </w:rPr>
        <w:t xml:space="preserve">江苏省常州市溧阳市天目湖镇协和路8号</w:t>
      </w:r>
      <w:r/>
    </w:p>
    <w:p>
      <w:pPr>
        <w:ind w:firstLine="480"/>
        <w:jc w:val="left"/>
        <w:spacing w:line="360" w:lineRule="auto"/>
        <w:rPr>
          <w:rFonts w:hint="default" w:ascii="宋体" w:hAnsi="宋体" w:cs="宋体"/>
          <w:color w:val="auto"/>
          <w:sz w:val="24"/>
          <w:highlight w:val="none"/>
        </w:rPr>
      </w:pPr>
      <w:r>
        <w:rPr>
          <w:rFonts w:hint="eastAsia" w:ascii="宋体" w:hAnsi="宋体" w:cs="宋体"/>
          <w:color w:val="auto"/>
          <w:sz w:val="24"/>
          <w:highlight w:val="none"/>
          <w:lang w:val="zh-TW"/>
        </w:rPr>
        <w:t xml:space="preserve">联系方式：</w:t>
      </w:r>
      <w:r>
        <w:rPr>
          <w:rFonts w:hint="eastAsia" w:ascii="宋体" w:hAnsi="宋体" w:cs="宋体"/>
          <w:color w:val="auto"/>
          <w:sz w:val="24"/>
          <w:highlight w:val="none"/>
        </w:rPr>
        <w:t xml:space="preserve">0519-87982255</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29"/>
      <w:r/>
      <w:bookmarkEnd w:id="30"/>
      <w:r/>
      <w:r/>
    </w:p>
    <w:p>
      <w:pPr>
        <w:ind w:firstLine="480"/>
        <w:jc w:val="left"/>
        <w:spacing w:line="360" w:lineRule="auto"/>
        <w:rPr>
          <w:rFonts w:hint="eastAsia" w:ascii="宋体" w:hAnsi="宋体" w:cs="宋体"/>
          <w:color w:val="auto"/>
          <w:sz w:val="24"/>
          <w:highlight w:val="none"/>
        </w:rPr>
      </w:pPr>
      <w:r/>
      <w:bookmarkStart w:id="31" w:name="_Toc28359087"/>
      <w:r/>
      <w:bookmarkStart w:id="32" w:name="_Toc28359010"/>
      <w:r>
        <w:rPr>
          <w:rFonts w:hint="eastAsia" w:ascii="宋体" w:hAnsi="宋体" w:cs="宋体"/>
          <w:color w:val="auto"/>
          <w:sz w:val="24"/>
          <w:highlight w:val="none"/>
        </w:rPr>
        <w:t xml:space="preserve">名    称：江苏立诚建设项目管理咨询有限公司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江苏省溧阳市古县街道奥体大道3001号贝桥嘉苑36幢101室2层-2</w:t>
      </w:r>
      <w:r/>
    </w:p>
    <w:p>
      <w:pPr>
        <w:ind w:firstLine="480"/>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联系方式：0519-87925608</w:t>
      </w:r>
      <w:r/>
    </w:p>
    <w:p>
      <w:pPr>
        <w:ind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rPr>
        <w:t xml:space="preserve">3.项目联系方式</w:t>
      </w:r>
      <w:bookmarkEnd w:id="31"/>
      <w:r/>
      <w:bookmarkEnd w:id="32"/>
      <w:r/>
      <w:r/>
    </w:p>
    <w:p>
      <w:pPr>
        <w:ind w:firstLine="480"/>
        <w:jc w:val="both"/>
        <w:spacing w:line="360" w:lineRule="auto"/>
        <w:widowControl w:val="off"/>
        <w:rPr>
          <w:rFonts w:hint="eastAsia" w:ascii="宋体" w:hAnsi="宋体" w:eastAsia="宋体" w:cs="宋体"/>
          <w:color w:val="auto"/>
          <w:sz w:val="24"/>
          <w:szCs w:val="20"/>
          <w:highlight w:val="none"/>
          <w:u w:val="single"/>
          <w:lang w:val="en-US" w:eastAsia="zh-CN" w:bidi="ar"/>
        </w:rPr>
      </w:pPr>
      <w:r>
        <w:rPr>
          <w:rFonts w:hint="eastAsia" w:ascii="宋体" w:hAnsi="宋体" w:eastAsia="宋体" w:cs="宋体"/>
          <w:color w:val="auto"/>
          <w:sz w:val="24"/>
          <w:szCs w:val="24"/>
          <w:highlight w:val="none"/>
          <w:lang w:val="en-US" w:eastAsia="zh-CN" w:bidi="ar-SA"/>
        </w:rPr>
        <w:t xml:space="preserve">项目联系人：丁</w:t>
      </w:r>
      <w:r>
        <w:rPr>
          <w:rFonts w:hint="eastAsia" w:ascii="宋体" w:hAnsi="宋体" w:eastAsia="宋体" w:cs="宋体"/>
          <w:color w:val="auto"/>
          <w:sz w:val="24"/>
          <w:szCs w:val="20"/>
          <w:highlight w:val="none"/>
          <w:lang w:val="en-US" w:eastAsia="zh-CN" w:bidi="ar-SA"/>
        </w:rPr>
        <w:t xml:space="preserve">女士</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      话：0519-87925608</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3" w:name="_Toc305158928"/>
      <w:r/>
      <w:bookmarkStart w:id="34" w:name="_Toc226965856"/>
      <w:r/>
      <w:bookmarkStart w:id="35" w:name="_Toc127161488"/>
      <w:r/>
      <w:bookmarkStart w:id="36" w:name="_Toc305158854"/>
      <w:r/>
      <w:bookmarkStart w:id="37" w:name="_Toc264969275"/>
      <w:r/>
      <w:bookmarkStart w:id="38" w:name="_Toc127151777"/>
      <w:r/>
      <w:bookmarkStart w:id="39" w:name="_Toc195842950"/>
      <w:r/>
      <w:bookmarkStart w:id="40" w:name="_Toc265228423"/>
      <w:r/>
      <w:bookmarkStart w:id="41" w:name="_Toc353825548"/>
      <w:r/>
      <w:bookmarkStart w:id="42" w:name="_Toc150774783"/>
      <w:r/>
      <w:bookmarkStart w:id="43" w:name="_Toc512937850"/>
      <w:r/>
      <w:bookmarkStart w:id="44" w:name="_Toc353873938"/>
      <w:r/>
      <w:bookmarkStart w:id="45" w:name="_Toc104818926"/>
      <w:r>
        <w:rPr>
          <w:b/>
          <w:color w:val="auto"/>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75"/>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46" w:name="_Toc151193833"/>
      <w:r/>
      <w:bookmarkStart w:id="47" w:name="_Toc150774724"/>
      <w:r/>
      <w:bookmarkStart w:id="48" w:name="_Toc164351613"/>
      <w:r/>
      <w:bookmarkStart w:id="49" w:name="_Toc150509270"/>
      <w:r/>
      <w:bookmarkStart w:id="50" w:name="_Toc127161433"/>
      <w:r/>
      <w:bookmarkStart w:id="51" w:name="_Toc164229360"/>
      <w:r/>
      <w:bookmarkStart w:id="52" w:name="_Toc164608788"/>
      <w:r/>
      <w:bookmarkStart w:id="53" w:name="_Toc127151519"/>
      <w:r/>
      <w:bookmarkStart w:id="54" w:name="_Toc226309763"/>
      <w:r/>
      <w:bookmarkStart w:id="55" w:name="_Toc127151720"/>
      <w:r/>
      <w:bookmarkStart w:id="56" w:name="_Toc150480757"/>
      <w:r/>
      <w:bookmarkStart w:id="57" w:name="_Toc226965792"/>
      <w:r/>
      <w:bookmarkStart w:id="58" w:name="_Toc195842884"/>
      <w:r/>
      <w:bookmarkStart w:id="59" w:name="_Toc164229214"/>
      <w:r/>
      <w:bookmarkStart w:id="60" w:name="_Toc149720812"/>
      <w:r/>
      <w:bookmarkStart w:id="61" w:name="_Toc151193761"/>
      <w:r/>
      <w:bookmarkStart w:id="62" w:name="_Toc520356144"/>
      <w:r/>
      <w:bookmarkStart w:id="63" w:name="_Toc151193689"/>
      <w:r/>
      <w:bookmarkStart w:id="64" w:name="_Toc151190146"/>
      <w:r/>
      <w:bookmarkStart w:id="65" w:name="_Toc150774619"/>
      <w:r/>
      <w:bookmarkStart w:id="66" w:name="_Toc226337215"/>
      <w:r/>
      <w:bookmarkStart w:id="67" w:name="_Toc151193617"/>
      <w:r/>
      <w:bookmarkStart w:id="68" w:name="_Toc151193907"/>
      <w:r/>
      <w:bookmarkStart w:id="69" w:name="_Toc164608633"/>
      <w:r/>
      <w:bookmarkStart w:id="70" w:name="_Toc226965709"/>
      <w:r/>
      <w:bookmarkStart w:id="71" w:name="_Toc142311021"/>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w:t>
      </w:r>
      <w:r/>
    </w:p>
    <w:tbl>
      <w:tblPr>
        <w:tblStyle w:val="75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680" w:hRule="exact"/>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680"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rPr>
                <w:b/>
                <w:bCs/>
                <w:color w:val="auto"/>
                <w:sz w:val="24"/>
                <w:highlight w:val="none"/>
              </w:rPr>
              <w:t xml:space="preserve">服务</w:t>
            </w:r>
            <w:r/>
          </w:p>
        </w:tc>
      </w:tr>
      <w:tr>
        <w:trPr>
          <w:jc w:val="center"/>
          <w:trHeight w:val="680"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253"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是否属于科研仪器设备采购项目：否</w:t>
            </w:r>
            <w:r/>
          </w:p>
        </w:tc>
      </w:tr>
      <w:tr>
        <w:trPr>
          <w:jc w:val="center"/>
          <w:trHeight w:val="680" w:hRule="exact"/>
        </w:trPr>
        <w:tc>
          <w:tcPr>
            <w:tcW w:w="988" w:type="dxa"/>
            <w:vAlign w:val="center"/>
            <w:vMerge w:val="restart"/>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color w:val="auto"/>
                <w:sz w:val="24"/>
                <w:highlight w:val="none"/>
              </w:rPr>
              <w:t xml:space="preserve">不组织</w:t>
            </w:r>
            <w:r/>
          </w:p>
        </w:tc>
      </w:tr>
      <w:tr>
        <w:trPr>
          <w:jc w:val="center"/>
          <w:trHeight w:val="680" w:hRule="exact"/>
        </w:trPr>
        <w:tc>
          <w:tcPr>
            <w:tcW w:w="988" w:type="dxa"/>
            <w:vAlign w:val="center"/>
            <w:vMerge w:val="continue"/>
            <w:textDirection w:val="lrTb"/>
            <w:noWrap w:val="false"/>
          </w:tcPr>
          <w:p>
            <w:pPr>
              <w:pStyle w:val="101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color w:val="auto"/>
                <w:sz w:val="24"/>
                <w:highlight w:val="none"/>
              </w:rPr>
              <w:t xml:space="preserve">不召开</w:t>
            </w:r>
            <w:r/>
          </w:p>
        </w:tc>
      </w:tr>
      <w:tr>
        <w:trPr>
          <w:jc w:val="center"/>
          <w:trHeight w:val="1102"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b/>
                <w:bCs/>
                <w:color w:val="auto"/>
                <w:sz w:val="24"/>
                <w:highlight w:val="none"/>
                <w:u w:val="single"/>
              </w:rPr>
              <w:t xml:space="preserve">其他未列明行业 </w:t>
            </w:r>
            <w:r/>
          </w:p>
        </w:tc>
      </w:tr>
      <w:tr>
        <w:trPr>
          <w:jc w:val="center"/>
          <w:trHeight w:val="680"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rPr>
                <w:rFonts w:hint="eastAsia"/>
                <w:color w:val="auto"/>
                <w:sz w:val="24"/>
                <w:highlight w:val="none"/>
                <w:lang w:val="en-US" w:eastAsia="zh-CN"/>
              </w:rPr>
              <w:t xml:space="preserve">二次报价</w:t>
            </w:r>
            <w:r>
              <w:rPr>
                <w:color w:val="auto"/>
                <w:sz w:val="24"/>
                <w:highlight w:val="none"/>
              </w:rPr>
              <w:t xml:space="preserve">。</w:t>
            </w:r>
            <w:r/>
          </w:p>
        </w:tc>
      </w:tr>
      <w:tr>
        <w:trPr>
          <w:jc w:val="center"/>
          <w:trHeight w:val="680"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color w:val="auto"/>
                <w:sz w:val="24"/>
                <w:highlight w:val="none"/>
              </w:rPr>
              <w:t xml:space="preserve">免收</w:t>
            </w:r>
            <w:r/>
          </w:p>
        </w:tc>
      </w:tr>
      <w:tr>
        <w:trPr>
          <w:jc w:val="center"/>
          <w:trHeight w:val="680"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自提交响应文件的截止之日起算60日历天。</w:t>
            </w:r>
            <w:r/>
          </w:p>
        </w:tc>
      </w:tr>
      <w:tr>
        <w:trPr>
          <w:jc w:val="center"/>
          <w:trHeight w:val="907"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spacing w:line="360" w:lineRule="auto"/>
              <w:rPr>
                <w:color w:val="auto"/>
                <w:sz w:val="24"/>
                <w:highlight w:val="none"/>
              </w:rPr>
            </w:pPr>
            <w:r>
              <w:rPr>
                <w:color w:val="auto"/>
                <w:sz w:val="24"/>
                <w:highlight w:val="none"/>
              </w:rPr>
              <w:t xml:space="preserve">本项目的非主体、非关键性工作是否允许分包：</w:t>
            </w:r>
            <w:r>
              <w:rPr>
                <w:rFonts w:hint="eastAsia"/>
                <w:b/>
                <w:bCs/>
                <w:color w:val="auto"/>
                <w:sz w:val="24"/>
                <w:highlight w:val="none"/>
                <w:lang w:val="en-US" w:eastAsia="zh-CN"/>
              </w:rPr>
              <w:t xml:space="preserve">不</w:t>
            </w:r>
            <w:r>
              <w:rPr>
                <w:rFonts w:hint="eastAsia"/>
                <w:b/>
                <w:bCs/>
                <w:color w:val="auto"/>
                <w:sz w:val="24"/>
                <w:highlight w:val="none"/>
              </w:rPr>
              <w:t xml:space="preserve">允许。</w:t>
            </w:r>
            <w:r/>
          </w:p>
        </w:tc>
      </w:tr>
      <w:tr>
        <w:trPr>
          <w:jc w:val="center"/>
          <w:trHeight w:val="680"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询问送达形式：书面形式。</w:t>
            </w:r>
            <w:r/>
          </w:p>
        </w:tc>
      </w:tr>
      <w:tr>
        <w:trPr>
          <w:jc w:val="center"/>
          <w:trHeight w:val="1896"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spacing w:line="360" w:lineRule="auto"/>
              <w:rPr>
                <w:color w:val="auto"/>
                <w:sz w:val="24"/>
                <w:highlight w:val="none"/>
              </w:rPr>
            </w:pPr>
            <w:r>
              <w:rPr>
                <w:color w:val="auto"/>
                <w:sz w:val="24"/>
                <w:highlight w:val="none"/>
              </w:rPr>
              <w:t xml:space="preserve">接收询问和质疑的联系方式</w:t>
            </w:r>
            <w:r/>
          </w:p>
          <w:p>
            <w:pPr>
              <w:jc w:val="left"/>
              <w:spacing w:line="360" w:lineRule="auto"/>
              <w:rPr>
                <w:color w:val="auto"/>
                <w:sz w:val="24"/>
                <w:highlight w:val="none"/>
              </w:rPr>
            </w:pPr>
            <w:r>
              <w:rPr>
                <w:color w:val="auto"/>
                <w:sz w:val="24"/>
                <w:highlight w:val="none"/>
              </w:rPr>
              <w:t xml:space="preserve">联系部门：江苏立诚建设项目管理咨询有限公司；</w:t>
            </w:r>
            <w:r/>
          </w:p>
          <w:p>
            <w:pPr>
              <w:jc w:val="left"/>
              <w:spacing w:line="360" w:lineRule="auto"/>
              <w:rPr>
                <w:color w:val="auto"/>
                <w:sz w:val="24"/>
                <w:highlight w:val="none"/>
              </w:rPr>
            </w:pPr>
            <w:r>
              <w:rPr>
                <w:color w:val="auto"/>
                <w:sz w:val="24"/>
                <w:highlight w:val="none"/>
              </w:rPr>
              <w:t xml:space="preserve">联系电话：0519-87925608；</w:t>
            </w:r>
            <w:r/>
          </w:p>
          <w:p>
            <w:pPr>
              <w:jc w:val="left"/>
              <w:spacing w:line="360" w:lineRule="auto"/>
              <w:rPr>
                <w:color w:val="auto"/>
                <w:sz w:val="24"/>
                <w:highlight w:val="none"/>
              </w:rPr>
            </w:pPr>
            <w:r>
              <w:rPr>
                <w:color w:val="auto"/>
                <w:sz w:val="24"/>
                <w:highlight w:val="none"/>
              </w:rPr>
              <w:t xml:space="preserve">通讯地址：</w:t>
            </w:r>
            <w:r>
              <w:rPr>
                <w:rFonts w:hint="eastAsia"/>
                <w:color w:val="auto"/>
                <w:sz w:val="24"/>
                <w:highlight w:val="none"/>
              </w:rPr>
              <w:t xml:space="preserve">溧阳市古县街道奥体大道3001号贝桥嘉苑36幢101室2层-2</w:t>
            </w:r>
            <w:r>
              <w:rPr>
                <w:color w:val="auto"/>
                <w:sz w:val="24"/>
                <w:highlight w:val="none"/>
              </w:rPr>
              <w:t xml:space="preserve">。</w:t>
            </w:r>
            <w:r/>
          </w:p>
        </w:tc>
      </w:tr>
      <w:tr>
        <w:trPr>
          <w:jc w:val="center"/>
          <w:trHeight w:val="1415" w:hRule="exact"/>
        </w:trPr>
        <w:tc>
          <w:tcPr>
            <w:tcW w:w="988" w:type="dxa"/>
            <w:vAlign w:val="center"/>
            <w:textDirection w:val="lrTb"/>
            <w:noWrap w:val="false"/>
          </w:tcPr>
          <w:p>
            <w:pPr>
              <w:pStyle w:val="101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spacing w:line="360" w:lineRule="auto"/>
              <w:rPr>
                <w:color w:val="auto"/>
                <w:sz w:val="24"/>
                <w:szCs w:val="24"/>
                <w:highlight w:val="none"/>
              </w:rPr>
            </w:pPr>
            <w:r>
              <w:rPr>
                <w:color w:val="auto"/>
                <w:sz w:val="24"/>
                <w:highlight w:val="none"/>
              </w:rPr>
              <w:t xml:space="preserve">收费对象：成交供应商</w:t>
            </w:r>
            <w:r/>
          </w:p>
          <w:p>
            <w:pPr>
              <w:jc w:val="left"/>
              <w:spacing w:line="360" w:lineRule="auto"/>
              <w:rPr>
                <w:color w:val="auto"/>
                <w:sz w:val="24"/>
                <w:szCs w:val="24"/>
                <w:highlight w:val="none"/>
              </w:rPr>
            </w:pPr>
            <w:r>
              <w:rPr>
                <w:color w:val="auto"/>
                <w:sz w:val="24"/>
                <w:highlight w:val="none"/>
              </w:rPr>
              <w:t xml:space="preserve">收费标准：</w:t>
            </w:r>
            <w:r>
              <w:rPr>
                <w:rFonts w:hint="eastAsia" w:ascii="宋体" w:hAnsi="宋体" w:eastAsia="宋体" w:cs="宋体"/>
                <w:color w:val="auto"/>
                <w:sz w:val="24"/>
                <w:highlight w:val="none"/>
              </w:rPr>
              <w:t xml:space="preserve">按苏</w:t>
            </w:r>
            <w:r>
              <w:rPr>
                <w:rFonts w:hint="eastAsia" w:ascii="宋体" w:hAnsi="宋体" w:eastAsia="宋体" w:cs="宋体"/>
                <w:color w:val="auto"/>
                <w:sz w:val="24"/>
                <w:highlight w:val="none"/>
                <w:lang w:val="en-US" w:eastAsia="zh-CN"/>
              </w:rPr>
              <w:t xml:space="preserve">政采协[2024]20</w:t>
            </w:r>
            <w:r>
              <w:rPr>
                <w:rFonts w:hint="eastAsia" w:ascii="宋体" w:hAnsi="宋体" w:eastAsia="宋体" w:cs="宋体"/>
                <w:color w:val="auto"/>
                <w:sz w:val="24"/>
                <w:highlight w:val="none"/>
              </w:rPr>
              <w:t xml:space="preserve">号文收取</w:t>
            </w:r>
            <w:r>
              <w:rPr>
                <w:color w:val="auto"/>
                <w:sz w:val="24"/>
                <w:highlight w:val="none"/>
              </w:rPr>
              <w:t xml:space="preserve">；</w:t>
            </w:r>
            <w:r/>
          </w:p>
          <w:p>
            <w:pPr>
              <w:jc w:val="left"/>
              <w:spacing w:line="360" w:lineRule="auto"/>
              <w:rPr>
                <w:color w:val="auto"/>
                <w:sz w:val="24"/>
                <w:highlight w:val="none"/>
              </w:rPr>
            </w:pPr>
            <w:r>
              <w:rPr>
                <w:color w:val="auto"/>
                <w:sz w:val="24"/>
                <w:highlight w:val="none"/>
              </w:rPr>
              <w:t xml:space="preserve">缴纳时间：领取成交通知书的同时。</w:t>
            </w:r>
            <w:r/>
          </w:p>
        </w:tc>
      </w:tr>
    </w:tbl>
    <w:p>
      <w:pPr>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975"/>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72" w:name="_Toc520356143"/>
      <w:r/>
      <w:bookmarkStart w:id="73" w:name="_Toc127151518"/>
      <w:r>
        <w:rPr>
          <w:rFonts w:ascii="Times New Roman" w:hAnsi="Times New Roman" w:eastAsia="宋体"/>
          <w:color w:val="auto"/>
          <w:sz w:val="28"/>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74" w:name="_Toc264969208"/>
      <w:r/>
      <w:bookmarkStart w:id="75" w:name="_Toc151193616"/>
      <w:r/>
      <w:bookmarkStart w:id="76" w:name="_Toc226337214"/>
      <w:r/>
      <w:bookmarkStart w:id="77" w:name="_Toc142311020"/>
      <w:r/>
      <w:bookmarkStart w:id="78" w:name="_Toc226309762"/>
      <w:r/>
      <w:bookmarkStart w:id="79" w:name="_Toc305158786"/>
      <w:r/>
      <w:bookmarkStart w:id="80" w:name="_Toc226965791"/>
      <w:r/>
      <w:bookmarkStart w:id="81" w:name="_Toc150774723"/>
      <w:r/>
      <w:bookmarkStart w:id="82" w:name="_Toc150774618"/>
      <w:r/>
      <w:bookmarkStart w:id="83" w:name="_Toc195842883"/>
      <w:r/>
      <w:bookmarkStart w:id="84" w:name="_Toc151193906"/>
      <w:r/>
      <w:bookmarkStart w:id="85" w:name="_Toc151193832"/>
      <w:r/>
      <w:bookmarkStart w:id="86" w:name="_Toc150509269"/>
      <w:r/>
      <w:bookmarkStart w:id="87" w:name="_Toc226965708"/>
      <w:r/>
      <w:bookmarkStart w:id="88" w:name="_Toc151193760"/>
      <w:r/>
      <w:bookmarkStart w:id="89" w:name="_Toc150480756"/>
      <w:r/>
      <w:bookmarkStart w:id="90" w:name="_Toc305158860"/>
      <w:r/>
      <w:bookmarkStart w:id="91" w:name="_Toc151193688"/>
      <w:r/>
      <w:bookmarkStart w:id="92" w:name="_Toc151190145"/>
      <w:r/>
      <w:bookmarkStart w:id="93" w:name="_Toc265228356"/>
      <w:r/>
      <w:bookmarkStart w:id="94" w:name="_Toc142311057"/>
      <w:r/>
      <w:bookmarkStart w:id="95" w:name="_Toc150480793"/>
      <w:r/>
      <w:bookmarkStart w:id="96" w:name="_Toc150774760"/>
      <w:r/>
      <w:bookmarkStart w:id="97" w:name="_Toc353825545"/>
      <w:r/>
      <w:bookmarkStart w:id="98" w:name="_Toc226965828"/>
      <w:r/>
      <w:bookmarkStart w:id="99" w:name="_Toc353873665"/>
      <w:r/>
      <w:bookmarkStart w:id="100" w:name="_Toc305158823"/>
      <w:r/>
      <w:bookmarkStart w:id="101" w:name="_Toc195842920"/>
      <w:r/>
      <w:bookmarkStart w:id="102" w:name="_Toc265228393"/>
      <w:r/>
      <w:bookmarkStart w:id="103" w:name="_Toc353873935"/>
      <w:r/>
      <w:bookmarkStart w:id="104" w:name="_Toc305158897"/>
      <w:r/>
      <w:bookmarkStart w:id="105" w:name="_Toc264969245"/>
      <w:r/>
      <w:bookmarkStart w:id="106" w:name="_Toc226337251"/>
      <w:r/>
      <w:bookmarkStart w:id="107" w:name="_Toc127151555"/>
      <w:r>
        <w:rPr>
          <w:rFonts w:ascii="Times New Roman" w:hAnsi="Times New Roman" w:eastAsia="宋体"/>
          <w:color w:val="auto"/>
          <w:sz w:val="28"/>
          <w:highlight w:val="none"/>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auto"/>
          <w:sz w:val="28"/>
          <w:highlight w:val="none"/>
        </w:rPr>
        <w:tab/>
      </w:r>
      <w:r/>
    </w:p>
    <w:p>
      <w:pPr>
        <w:numPr>
          <w:ilvl w:val="0"/>
          <w:numId w:val="9"/>
        </w:numPr>
        <w:ind w:left="357" w:hanging="357"/>
        <w:spacing w:line="360" w:lineRule="auto"/>
        <w:tabs>
          <w:tab w:val="left" w:pos="360" w:leader="none"/>
        </w:tabs>
        <w:rPr>
          <w:color w:val="auto"/>
          <w:sz w:val="24"/>
          <w:highlight w:val="none"/>
        </w:rPr>
        <w:outlineLvl w:val="1"/>
      </w:pPr>
      <w:r/>
      <w:bookmarkStart w:id="108" w:name="_Toc265228357"/>
      <w:r/>
      <w:bookmarkStart w:id="109" w:name="_Toc305158787"/>
      <w:r/>
      <w:bookmarkStart w:id="110" w:name="_Toc264969209"/>
      <w:r/>
      <w:bookmarkStart w:id="111" w:name="_Toc305158861"/>
      <w:r>
        <w:rPr>
          <w:color w:val="auto"/>
          <w:sz w:val="24"/>
          <w:highlight w:val="none"/>
        </w:rPr>
        <w:t xml:space="preserve">采购人、采购代理机构、供应商</w:t>
      </w:r>
      <w:bookmarkEnd w:id="108"/>
      <w:r/>
      <w:bookmarkEnd w:id="109"/>
      <w:r/>
      <w:bookmarkEnd w:id="110"/>
      <w:r/>
      <w:bookmarkEnd w:id="111"/>
      <w:r>
        <w:rPr>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采购人、采购代理机构：指依法进行政府采购的国家机关、事业单位、团体组织，及其委托的采购代理机构。本项目采购人、采购代理机构见第一章《磋商邀请》。</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s>
        <w:rPr>
          <w:color w:val="auto"/>
          <w:sz w:val="24"/>
          <w:highlight w:val="none"/>
        </w:rPr>
        <w:outlineLvl w:val="1"/>
      </w:pPr>
      <w:r/>
      <w:bookmarkStart w:id="112" w:name="_Toc142311022"/>
      <w:r/>
      <w:bookmarkStart w:id="113" w:name="_Toc164351614"/>
      <w:r/>
      <w:bookmarkStart w:id="114" w:name="_Toc226965710"/>
      <w:r/>
      <w:bookmarkStart w:id="115" w:name="_Toc150774620"/>
      <w:r/>
      <w:bookmarkStart w:id="116" w:name="_Toc305158862"/>
      <w:r/>
      <w:bookmarkStart w:id="117" w:name="_Toc265228358"/>
      <w:r/>
      <w:bookmarkStart w:id="118" w:name="_Toc151190147"/>
      <w:r/>
      <w:bookmarkStart w:id="119" w:name="_Toc164608634"/>
      <w:r/>
      <w:bookmarkStart w:id="120" w:name="_Toc164608789"/>
      <w:r/>
      <w:bookmarkStart w:id="121" w:name="_Toc164229215"/>
      <w:r/>
      <w:bookmarkStart w:id="122" w:name="_Toc151193834"/>
      <w:r/>
      <w:bookmarkStart w:id="123" w:name="_Toc164229361"/>
      <w:r/>
      <w:bookmarkStart w:id="124" w:name="_Toc151193690"/>
      <w:r/>
      <w:bookmarkStart w:id="125" w:name="_Toc150509271"/>
      <w:r/>
      <w:bookmarkStart w:id="126" w:name="_Toc195842885"/>
      <w:r/>
      <w:bookmarkStart w:id="127" w:name="_Toc151193762"/>
      <w:r/>
      <w:bookmarkStart w:id="128" w:name="_Toc151193908"/>
      <w:r/>
      <w:bookmarkStart w:id="129" w:name="_Toc127161434"/>
      <w:r/>
      <w:bookmarkStart w:id="130" w:name="_Toc127151721"/>
      <w:r/>
      <w:bookmarkStart w:id="131" w:name="_Toc226337216"/>
      <w:r/>
      <w:bookmarkStart w:id="132" w:name="_Toc226309764"/>
      <w:r/>
      <w:bookmarkStart w:id="133" w:name="_Toc305158788"/>
      <w:r/>
      <w:bookmarkStart w:id="134" w:name="_Toc127151520"/>
      <w:r/>
      <w:bookmarkStart w:id="135" w:name="_Toc226965793"/>
      <w:r/>
      <w:bookmarkStart w:id="136" w:name="_Toc149720813"/>
      <w:r/>
      <w:bookmarkStart w:id="137" w:name="_Toc264969210"/>
      <w:r/>
      <w:bookmarkStart w:id="138" w:name="_Toc150774725"/>
      <w:r/>
      <w:bookmarkStart w:id="139" w:name="_Toc150480758"/>
      <w:r/>
      <w:bookmarkStart w:id="140" w:name="_Toc151193618"/>
      <w:r>
        <w:rPr>
          <w:color w:val="auto"/>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sz w:val="24"/>
          <w:highlight w:val="none"/>
        </w:rPr>
        <w:t xml:space="preserve">、项目属性、科研仪器设备采购</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9"/>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141" w:name="_Toc520356146"/>
      <w:r/>
      <w:bookmarkStart w:id="142" w:name="_Toc151193764"/>
      <w:r/>
      <w:bookmarkStart w:id="143" w:name="_Toc151193620"/>
      <w:r/>
      <w:bookmarkStart w:id="144" w:name="_Toc151190149"/>
      <w:r/>
      <w:bookmarkStart w:id="145" w:name="_Toc127151522"/>
      <w:r/>
      <w:bookmarkStart w:id="146" w:name="_Toc226309766"/>
      <w:r/>
      <w:bookmarkStart w:id="147" w:name="_Toc151193836"/>
      <w:r/>
      <w:bookmarkStart w:id="148" w:name="_Toc150774622"/>
      <w:r/>
      <w:bookmarkStart w:id="149" w:name="_Toc195842887"/>
      <w:r/>
      <w:bookmarkStart w:id="150" w:name="_Toc142311024"/>
      <w:r/>
      <w:bookmarkStart w:id="151" w:name="_Toc265228360"/>
      <w:r/>
      <w:bookmarkStart w:id="152" w:name="_Toc226337218"/>
      <w:r/>
      <w:bookmarkStart w:id="153" w:name="_Toc150774727"/>
      <w:r/>
      <w:bookmarkStart w:id="154" w:name="_Toc226965712"/>
      <w:r/>
      <w:bookmarkStart w:id="155" w:name="_Toc151193910"/>
      <w:r/>
      <w:bookmarkStart w:id="156" w:name="_Toc150480760"/>
      <w:r/>
      <w:bookmarkStart w:id="157" w:name="_Toc264969212"/>
      <w:r/>
      <w:bookmarkStart w:id="158" w:name="_Toc150509273"/>
      <w:r/>
      <w:bookmarkStart w:id="159" w:name="_Toc305158790"/>
      <w:r/>
      <w:bookmarkStart w:id="160" w:name="_Toc151193692"/>
      <w:r/>
      <w:bookmarkStart w:id="161" w:name="_Toc226965795"/>
      <w:r/>
      <w:bookmarkStart w:id="162" w:name="_Toc305158864"/>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9"/>
        </w:numPr>
        <w:spacing w:line="360" w:lineRule="auto"/>
        <w:tabs>
          <w:tab w:val="left" w:pos="2014" w:leader="none"/>
        </w:tabs>
        <w:rPr>
          <w:color w:val="auto"/>
          <w:sz w:val="24"/>
          <w:highlight w:val="none"/>
        </w:rPr>
      </w:pPr>
      <w:r>
        <w:rPr>
          <w:color w:val="auto"/>
          <w:sz w:val="24"/>
          <w:highlight w:val="none"/>
        </w:rPr>
        <w:t xml:space="preserve">本项目不适用。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9"/>
        </w:numPr>
        <w:spacing w:line="360" w:lineRule="auto"/>
        <w:rPr>
          <w:color w:val="auto"/>
          <w:sz w:val="24"/>
          <w:highlight w:val="none"/>
        </w:rPr>
      </w:pPr>
      <w:r>
        <w:rPr>
          <w:color w:val="auto"/>
          <w:sz w:val="24"/>
          <w:highlight w:val="none"/>
        </w:rPr>
        <w:t xml:space="preserve">中小企业定义：</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在服务采购项目中，服务由中小企业承接，即提供服务的人员为中小企业依照《中华人民共和国劳动合同法》订立劳动合同的从业人员。</w:t>
      </w:r>
      <w:r/>
    </w:p>
    <w:p>
      <w:pPr>
        <w:numPr>
          <w:ilvl w:val="2"/>
          <w:numId w:val="9"/>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auto"/>
          <w:sz w:val="24"/>
          <w:highlight w:val="none"/>
        </w:rPr>
      </w:pPr>
      <w:r>
        <w:rPr>
          <w:color w:val="auto"/>
          <w:sz w:val="24"/>
          <w:highlight w:val="none"/>
        </w:rPr>
        <w:t xml:space="preserve">本项目是否专门面向中小企业预留采购份额见第一章《磋商邀请》。</w:t>
      </w:r>
      <w:r/>
    </w:p>
    <w:p>
      <w:pPr>
        <w:numPr>
          <w:ilvl w:val="2"/>
          <w:numId w:val="9"/>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9"/>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9"/>
        </w:numPr>
        <w:spacing w:line="360" w:lineRule="auto"/>
        <w:tabs>
          <w:tab w:val="left" w:pos="2014" w:leader="none"/>
        </w:tabs>
        <w:rPr>
          <w:color w:val="auto"/>
          <w:sz w:val="24"/>
          <w:highlight w:val="none"/>
        </w:rPr>
      </w:pPr>
      <w:r>
        <w:rPr>
          <w:color w:val="auto"/>
          <w:sz w:val="24"/>
          <w:highlight w:val="none"/>
        </w:rPr>
        <w:t xml:space="preserve">本项目不适用。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9"/>
        </w:numPr>
        <w:spacing w:line="360" w:lineRule="auto"/>
        <w:tabs>
          <w:tab w:val="left" w:pos="2014" w:leader="none"/>
        </w:tabs>
        <w:rPr>
          <w:color w:val="auto"/>
          <w:sz w:val="24"/>
          <w:highlight w:val="none"/>
        </w:rPr>
      </w:pPr>
      <w:r>
        <w:rPr>
          <w:color w:val="auto"/>
          <w:sz w:val="24"/>
          <w:highlight w:val="none"/>
        </w:rPr>
        <w:t xml:space="preserve">本项目不适用。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9"/>
        </w:numPr>
        <w:spacing w:line="360" w:lineRule="auto"/>
        <w:rPr>
          <w:color w:val="auto"/>
          <w:sz w:val="24"/>
          <w:highlight w:val="none"/>
        </w:rPr>
      </w:pPr>
      <w:r>
        <w:rPr>
          <w:color w:val="auto"/>
          <w:sz w:val="24"/>
          <w:highlight w:val="none"/>
        </w:rPr>
        <w:t xml:space="preserve">本项目不适用。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政府采购创新产品政策</w:t>
      </w:r>
      <w:r/>
    </w:p>
    <w:p>
      <w:pPr>
        <w:numPr>
          <w:ilvl w:val="2"/>
          <w:numId w:val="9"/>
        </w:numPr>
        <w:spacing w:line="360" w:lineRule="auto"/>
        <w:tabs>
          <w:tab w:val="left" w:pos="2014" w:leader="none"/>
        </w:tabs>
        <w:rPr>
          <w:color w:val="auto"/>
          <w:sz w:val="24"/>
          <w:highlight w:val="none"/>
        </w:rPr>
      </w:pPr>
      <w:r>
        <w:rPr>
          <w:color w:val="auto"/>
          <w:sz w:val="24"/>
          <w:highlight w:val="none"/>
        </w:rPr>
        <w:t xml:space="preserve">本项目不适用。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绿色采购政策</w:t>
      </w:r>
      <w:r/>
    </w:p>
    <w:p>
      <w:pPr>
        <w:numPr>
          <w:ilvl w:val="2"/>
          <w:numId w:val="9"/>
        </w:numPr>
        <w:spacing w:line="360" w:lineRule="auto"/>
        <w:tabs>
          <w:tab w:val="left" w:pos="2014" w:leader="none"/>
        </w:tabs>
        <w:rPr>
          <w:color w:val="auto"/>
          <w:highlight w:val="none"/>
        </w:rPr>
      </w:pPr>
      <w:r>
        <w:rPr>
          <w:color w:val="auto"/>
          <w:sz w:val="24"/>
          <w:highlight w:val="none"/>
        </w:rPr>
        <w:t xml:space="preserve">本项目不适用。</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3" w:name="_1.8_计量单位"/>
      <w:r/>
      <w:bookmarkEnd w:id="163"/>
      <w:r/>
      <w:r/>
    </w:p>
    <w:p>
      <w:pPr>
        <w:pStyle w:val="97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9"/>
        </w:numPr>
        <w:ind w:left="357" w:hanging="357"/>
        <w:spacing w:line="360" w:lineRule="auto"/>
        <w:tabs>
          <w:tab w:val="left" w:pos="360" w:leader="none"/>
        </w:tabs>
        <w:rPr>
          <w:color w:val="auto"/>
          <w:sz w:val="24"/>
          <w:highlight w:val="none"/>
        </w:rPr>
        <w:outlineLvl w:val="1"/>
      </w:pPr>
      <w:r/>
      <w:bookmarkStart w:id="164" w:name="_Toc142311025"/>
      <w:r/>
      <w:bookmarkStart w:id="165" w:name="_Toc151193837"/>
      <w:r/>
      <w:bookmarkStart w:id="166" w:name="_Toc164608792"/>
      <w:r/>
      <w:bookmarkStart w:id="167" w:name="_Toc150774728"/>
      <w:r/>
      <w:bookmarkStart w:id="168" w:name="_Toc151193911"/>
      <w:r/>
      <w:bookmarkStart w:id="169" w:name="_Toc150774623"/>
      <w:r/>
      <w:bookmarkStart w:id="170" w:name="_Toc226337219"/>
      <w:r/>
      <w:bookmarkStart w:id="171" w:name="_Toc151193693"/>
      <w:r/>
      <w:bookmarkStart w:id="172" w:name="_Toc195842888"/>
      <w:r/>
      <w:bookmarkStart w:id="173" w:name="_Toc305158865"/>
      <w:r/>
      <w:bookmarkStart w:id="174" w:name="_Toc164608637"/>
      <w:r/>
      <w:bookmarkStart w:id="175" w:name="_Toc520356147"/>
      <w:r/>
      <w:bookmarkStart w:id="176" w:name="_Toc164351617"/>
      <w:r/>
      <w:bookmarkStart w:id="177" w:name="_Toc226965796"/>
      <w:r/>
      <w:bookmarkStart w:id="178" w:name="_Toc150509274"/>
      <w:r/>
      <w:bookmarkStart w:id="179" w:name="_Toc264969213"/>
      <w:r/>
      <w:bookmarkStart w:id="180" w:name="_Toc226965713"/>
      <w:r/>
      <w:bookmarkStart w:id="181" w:name="_Toc127161437"/>
      <w:r/>
      <w:bookmarkStart w:id="182" w:name="_Toc127151724"/>
      <w:r/>
      <w:bookmarkStart w:id="183" w:name="_Toc164229364"/>
      <w:r/>
      <w:bookmarkStart w:id="184" w:name="_Toc151193765"/>
      <w:r/>
      <w:bookmarkStart w:id="185" w:name="_Toc226309767"/>
      <w:r/>
      <w:bookmarkStart w:id="186" w:name="_Toc150480761"/>
      <w:r/>
      <w:bookmarkStart w:id="187" w:name="_Toc151190150"/>
      <w:r/>
      <w:bookmarkStart w:id="188" w:name="_Toc164229218"/>
      <w:r/>
      <w:bookmarkStart w:id="189" w:name="_Toc149720816"/>
      <w:r/>
      <w:bookmarkStart w:id="190" w:name="_Toc305158791"/>
      <w:r/>
      <w:bookmarkStart w:id="191" w:name="_Toc265228361"/>
      <w:r/>
      <w:bookmarkStart w:id="192" w:name="_Toc151193621"/>
      <w:r/>
      <w:bookmarkStart w:id="193" w:name="_Toc127151523"/>
      <w:r>
        <w:rPr>
          <w:color w:val="auto"/>
          <w:sz w:val="24"/>
          <w:highlight w:val="none"/>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磋商邀请</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评审程序、评审方法和评审标准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9"/>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9"/>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94" w:name="_Toc516367020"/>
      <w:r/>
      <w:bookmarkStart w:id="195" w:name="_Toc520356150"/>
      <w:r/>
      <w:bookmarkStart w:id="196" w:name="_Toc305158868"/>
      <w:r/>
      <w:bookmarkStart w:id="197" w:name="_Toc264969216"/>
      <w:r/>
      <w:bookmarkStart w:id="198" w:name="_Toc151193624"/>
      <w:r/>
      <w:bookmarkStart w:id="199" w:name="_Toc150480764"/>
      <w:r/>
      <w:bookmarkStart w:id="200" w:name="_Toc151193914"/>
      <w:r/>
      <w:bookmarkStart w:id="201" w:name="_Toc127151526"/>
      <w:r/>
      <w:bookmarkStart w:id="202" w:name="_Toc305158794"/>
      <w:r/>
      <w:bookmarkStart w:id="203" w:name="_Toc150509277"/>
      <w:r/>
      <w:bookmarkStart w:id="204" w:name="_Toc226337222"/>
      <w:r/>
      <w:bookmarkStart w:id="205" w:name="_Toc150774731"/>
      <w:r/>
      <w:bookmarkStart w:id="206" w:name="_Toc226965716"/>
      <w:r/>
      <w:bookmarkStart w:id="207" w:name="_Toc151193696"/>
      <w:r/>
      <w:bookmarkStart w:id="208" w:name="_Toc151193840"/>
      <w:r/>
      <w:bookmarkStart w:id="209" w:name="_Toc142311028"/>
      <w:r/>
      <w:bookmarkStart w:id="210" w:name="_Toc226965799"/>
      <w:r/>
      <w:bookmarkStart w:id="211" w:name="_Toc195842891"/>
      <w:r/>
      <w:bookmarkStart w:id="212" w:name="_Toc150774626"/>
      <w:r/>
      <w:bookmarkStart w:id="213" w:name="_Toc151190153"/>
      <w:r/>
      <w:bookmarkStart w:id="214" w:name="_Toc151193768"/>
      <w:r/>
      <w:bookmarkStart w:id="215" w:name="_Toc265228364"/>
      <w:r/>
      <w:bookmarkStart w:id="216" w:name="_Toc226309770"/>
      <w:r/>
      <w:r/>
    </w:p>
    <w:p>
      <w:pPr>
        <w:pStyle w:val="97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94"/>
      <w:r>
        <w:rPr>
          <w:rFonts w:ascii="Times New Roman" w:hAnsi="Times New Roman" w:eastAsia="宋体"/>
          <w:color w:val="auto"/>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9"/>
        </w:numPr>
        <w:ind w:left="357" w:hanging="357"/>
        <w:spacing w:line="360" w:lineRule="auto"/>
        <w:tabs>
          <w:tab w:val="left" w:pos="360" w:leader="none"/>
        </w:tabs>
        <w:rPr>
          <w:color w:val="auto"/>
          <w:sz w:val="24"/>
          <w:highlight w:val="none"/>
        </w:rPr>
        <w:outlineLvl w:val="1"/>
      </w:pPr>
      <w:r/>
      <w:bookmarkStart w:id="217" w:name="_Toc127151728"/>
      <w:r/>
      <w:bookmarkStart w:id="218" w:name="_Toc516367021"/>
      <w:r/>
      <w:bookmarkStart w:id="219" w:name="_Toc264969217"/>
      <w:r/>
      <w:bookmarkStart w:id="220" w:name="_Toc151190154"/>
      <w:r/>
      <w:bookmarkStart w:id="221" w:name="_Toc151193625"/>
      <w:r/>
      <w:bookmarkStart w:id="222" w:name="_Toc127161441"/>
      <w:r/>
      <w:bookmarkStart w:id="223" w:name="_Toc150774732"/>
      <w:r/>
      <w:bookmarkStart w:id="224" w:name="_Toc164351621"/>
      <w:r/>
      <w:bookmarkStart w:id="225" w:name="_Toc142311029"/>
      <w:r/>
      <w:bookmarkStart w:id="226" w:name="_Toc127151527"/>
      <w:r/>
      <w:bookmarkStart w:id="227" w:name="_Toc164608796"/>
      <w:r/>
      <w:bookmarkStart w:id="228" w:name="_Toc150480765"/>
      <w:r/>
      <w:bookmarkStart w:id="229" w:name="_Toc226965800"/>
      <w:r/>
      <w:bookmarkStart w:id="230" w:name="_Toc151193841"/>
      <w:r/>
      <w:bookmarkStart w:id="231" w:name="_Toc151193915"/>
      <w:r/>
      <w:bookmarkStart w:id="232" w:name="_Toc226965717"/>
      <w:r/>
      <w:bookmarkStart w:id="233" w:name="_Toc151193769"/>
      <w:r/>
      <w:bookmarkStart w:id="234" w:name="_Toc150509278"/>
      <w:r/>
      <w:bookmarkStart w:id="235" w:name="_Toc164229222"/>
      <w:r/>
      <w:bookmarkStart w:id="236" w:name="_Toc305158795"/>
      <w:r/>
      <w:bookmarkStart w:id="237" w:name="_Toc305158869"/>
      <w:r/>
      <w:bookmarkStart w:id="238" w:name="_Toc150774627"/>
      <w:r/>
      <w:bookmarkStart w:id="239" w:name="_Toc265228365"/>
      <w:r/>
      <w:bookmarkStart w:id="240" w:name="_Toc520356151"/>
      <w:r/>
      <w:bookmarkStart w:id="241" w:name="_Toc226337223"/>
      <w:r/>
      <w:bookmarkStart w:id="242" w:name="_Toc164608641"/>
      <w:r/>
      <w:bookmarkStart w:id="243" w:name="_Toc226309771"/>
      <w:r/>
      <w:bookmarkStart w:id="244" w:name="_Toc164229368"/>
      <w:r/>
      <w:bookmarkStart w:id="245" w:name="_Toc195842892"/>
      <w:r/>
      <w:bookmarkStart w:id="246" w:name="_Toc149720820"/>
      <w:r/>
      <w:bookmarkStart w:id="247" w:name="_Toc151193697"/>
      <w:r>
        <w:rPr>
          <w:color w:val="auto"/>
          <w:sz w:val="24"/>
          <w:highlight w:val="none"/>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auto"/>
          <w:sz w:val="24"/>
          <w:highlight w:val="none"/>
        </w:rPr>
        <w:t xml:space="preserve">及磋商语言</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color w:val="auto"/>
          <w:sz w:val="24"/>
          <w:highlight w:val="none"/>
        </w:rPr>
        <w:outlineLvl w:val="1"/>
      </w:pPr>
      <w:r/>
      <w:bookmarkStart w:id="248" w:name="_Toc516367022"/>
      <w:r/>
      <w:bookmarkStart w:id="249" w:name="_Ref467306195"/>
      <w:r/>
      <w:bookmarkStart w:id="250" w:name="_Ref467306676"/>
      <w:r/>
      <w:bookmarkStart w:id="251" w:name="_Toc305158870"/>
      <w:r/>
      <w:bookmarkStart w:id="252" w:name="_Toc195842893"/>
      <w:r/>
      <w:bookmarkStart w:id="253" w:name="_Toc226309772"/>
      <w:r/>
      <w:bookmarkStart w:id="254" w:name="_Toc305158796"/>
      <w:r/>
      <w:bookmarkStart w:id="255" w:name="_Toc142311030"/>
      <w:r/>
      <w:bookmarkStart w:id="256" w:name="_Toc149720821"/>
      <w:r/>
      <w:bookmarkStart w:id="257" w:name="_Toc151193698"/>
      <w:r/>
      <w:bookmarkStart w:id="258" w:name="_Toc520356152"/>
      <w:r/>
      <w:bookmarkStart w:id="259" w:name="_Toc164229369"/>
      <w:r/>
      <w:bookmarkStart w:id="260" w:name="_Toc150509279"/>
      <w:r/>
      <w:bookmarkStart w:id="261" w:name="_Toc226965718"/>
      <w:r/>
      <w:bookmarkStart w:id="262" w:name="_Toc226965801"/>
      <w:r/>
      <w:bookmarkStart w:id="263" w:name="_Toc164608642"/>
      <w:r/>
      <w:bookmarkStart w:id="264" w:name="_Toc265228366"/>
      <w:r/>
      <w:bookmarkStart w:id="265" w:name="_Toc164351622"/>
      <w:r/>
      <w:bookmarkStart w:id="266" w:name="_Toc164229223"/>
      <w:r/>
      <w:bookmarkStart w:id="267" w:name="_Toc151190155"/>
      <w:r/>
      <w:bookmarkStart w:id="268" w:name="_Toc150480766"/>
      <w:r/>
      <w:bookmarkStart w:id="269" w:name="_Toc127161442"/>
      <w:r/>
      <w:bookmarkStart w:id="270" w:name="_Toc150774628"/>
      <w:r/>
      <w:bookmarkStart w:id="271" w:name="_Toc150774733"/>
      <w:r/>
      <w:bookmarkStart w:id="272" w:name="_Toc151193842"/>
      <w:r/>
      <w:bookmarkStart w:id="273" w:name="_Toc151193916"/>
      <w:r/>
      <w:bookmarkStart w:id="274" w:name="_Toc226337224"/>
      <w:r/>
      <w:bookmarkStart w:id="275" w:name="_Toc127151729"/>
      <w:r/>
      <w:bookmarkStart w:id="276" w:name="_Toc151193626"/>
      <w:r/>
      <w:bookmarkStart w:id="277" w:name="_Toc151193770"/>
      <w:r/>
      <w:bookmarkStart w:id="278" w:name="_Toc127151528"/>
      <w:r/>
      <w:bookmarkStart w:id="279" w:name="_Toc164608797"/>
      <w:r/>
      <w:bookmarkStart w:id="280" w:name="_Toc264969218"/>
      <w:r>
        <w:rPr>
          <w:color w:val="auto"/>
          <w:sz w:val="24"/>
          <w:highlight w:val="none"/>
        </w:rPr>
        <w:t xml:space="preserve">响应文件</w:t>
      </w:r>
      <w:bookmarkEnd w:id="248"/>
      <w:r/>
      <w:bookmarkEnd w:id="249"/>
      <w:r/>
      <w:bookmarkEnd w:id="250"/>
      <w:r>
        <w:rPr>
          <w:color w:val="auto"/>
          <w:sz w:val="24"/>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9"/>
        </w:numPr>
        <w:ind w:left="1077" w:hanging="720"/>
        <w:spacing w:line="360" w:lineRule="auto"/>
        <w:tabs>
          <w:tab w:val="left" w:pos="1080" w:leader="none"/>
          <w:tab w:val="left" w:pos="2014" w:leader="none"/>
        </w:tabs>
        <w:rPr>
          <w:color w:val="auto"/>
          <w:sz w:val="24"/>
          <w:highlight w:val="none"/>
        </w:rPr>
      </w:pPr>
      <w:r/>
      <w:bookmarkStart w:id="281" w:name="_Ref467052588"/>
      <w:r>
        <w:rPr>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81"/>
      <w:r/>
      <w:r/>
    </w:p>
    <w:p>
      <w:pPr>
        <w:numPr>
          <w:ilvl w:val="0"/>
          <w:numId w:val="9"/>
        </w:numPr>
        <w:ind w:left="357" w:hanging="357"/>
        <w:spacing w:line="360" w:lineRule="auto"/>
        <w:tabs>
          <w:tab w:val="left" w:pos="360" w:leader="none"/>
        </w:tabs>
        <w:rPr>
          <w:color w:val="auto"/>
          <w:sz w:val="24"/>
          <w:highlight w:val="none"/>
        </w:rPr>
        <w:outlineLvl w:val="1"/>
      </w:pPr>
      <w:r/>
      <w:bookmarkStart w:id="282" w:name="_Toc127151530"/>
      <w:r/>
      <w:bookmarkStart w:id="283" w:name="_Toc127161444"/>
      <w:r/>
      <w:bookmarkStart w:id="284" w:name="_Toc127151731"/>
      <w:r/>
      <w:bookmarkStart w:id="285" w:name="_Toc151190157"/>
      <w:r/>
      <w:bookmarkStart w:id="286" w:name="_Toc151193628"/>
      <w:r/>
      <w:bookmarkStart w:id="287" w:name="_Toc151193700"/>
      <w:r/>
      <w:bookmarkStart w:id="288" w:name="_Toc195842895"/>
      <w:r/>
      <w:bookmarkStart w:id="289" w:name="_Toc164608644"/>
      <w:r/>
      <w:bookmarkStart w:id="290" w:name="_Toc150509281"/>
      <w:r/>
      <w:bookmarkStart w:id="291" w:name="_Toc164229371"/>
      <w:r/>
      <w:bookmarkStart w:id="292" w:name="_Toc142311032"/>
      <w:r/>
      <w:bookmarkStart w:id="293" w:name="_Toc149720823"/>
      <w:r/>
      <w:bookmarkStart w:id="294" w:name="_Toc164608799"/>
      <w:r/>
      <w:bookmarkStart w:id="295" w:name="_Toc520356155"/>
      <w:r/>
      <w:bookmarkStart w:id="296" w:name="_Toc150774630"/>
      <w:r/>
      <w:bookmarkStart w:id="297" w:name="_Toc164351624"/>
      <w:r/>
      <w:bookmarkStart w:id="298" w:name="_Toc151193918"/>
      <w:r/>
      <w:bookmarkStart w:id="299" w:name="_Toc151193772"/>
      <w:r/>
      <w:bookmarkStart w:id="300" w:name="_Toc150774735"/>
      <w:r/>
      <w:bookmarkStart w:id="301" w:name="_Toc151193844"/>
      <w:r/>
      <w:bookmarkStart w:id="302" w:name="_Toc164229225"/>
      <w:r/>
      <w:bookmarkStart w:id="303" w:name="_Toc150480768"/>
      <w:r>
        <w:rPr>
          <w:color w:val="auto"/>
          <w:sz w:val="24"/>
          <w:highlight w:val="none"/>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9"/>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9"/>
        </w:numPr>
        <w:spacing w:line="360" w:lineRule="auto"/>
        <w:rPr>
          <w:color w:val="auto"/>
          <w:sz w:val="24"/>
          <w:highlight w:val="none"/>
        </w:rPr>
      </w:pPr>
      <w:r>
        <w:rPr>
          <w:color w:val="auto"/>
          <w:sz w:val="24"/>
          <w:highlight w:val="none"/>
        </w:rPr>
        <w:t xml:space="preserve">按照竞争性磋商文件要求完成本项目的全部服务费用。</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firstLine="360"/>
        <w:spacing w:line="360" w:lineRule="auto"/>
        <w:tabs>
          <w:tab w:val="left" w:pos="360" w:leader="none"/>
        </w:tabs>
        <w:rPr>
          <w:color w:val="auto"/>
          <w:sz w:val="24"/>
          <w:highlight w:val="none"/>
        </w:rPr>
        <w:outlineLvl w:val="1"/>
      </w:pPr>
      <w:r>
        <w:rPr>
          <w:color w:val="auto"/>
          <w:sz w:val="24"/>
          <w:highlight w:val="none"/>
        </w:rPr>
        <w:t xml:space="preserve">根据江苏省和常州市的相关文件规定，免收保证金。</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304" w:name="_Toc142311035"/>
      <w:r/>
      <w:bookmarkStart w:id="305" w:name="_Toc151193775"/>
      <w:r/>
      <w:bookmarkStart w:id="306" w:name="_Toc151193921"/>
      <w:r/>
      <w:bookmarkStart w:id="307" w:name="_Toc150509284"/>
      <w:r/>
      <w:bookmarkStart w:id="308" w:name="_Toc164229228"/>
      <w:r/>
      <w:bookmarkStart w:id="309" w:name="_Toc264969223"/>
      <w:r/>
      <w:bookmarkStart w:id="310" w:name="_Toc164608647"/>
      <w:r/>
      <w:bookmarkStart w:id="311" w:name="_Toc150774633"/>
      <w:r/>
      <w:bookmarkStart w:id="312" w:name="_Toc127161447"/>
      <w:r/>
      <w:bookmarkStart w:id="313" w:name="_Toc150480771"/>
      <w:r/>
      <w:bookmarkStart w:id="314" w:name="_Toc520356158"/>
      <w:r/>
      <w:bookmarkStart w:id="315" w:name="_Toc127151533"/>
      <w:r/>
      <w:bookmarkStart w:id="316" w:name="_Toc164608802"/>
      <w:r/>
      <w:bookmarkStart w:id="317" w:name="_Toc226337229"/>
      <w:r/>
      <w:bookmarkStart w:id="318" w:name="_Toc149720826"/>
      <w:r/>
      <w:bookmarkStart w:id="319" w:name="_Toc127151734"/>
      <w:r/>
      <w:bookmarkStart w:id="320" w:name="_Toc305158801"/>
      <w:r/>
      <w:bookmarkStart w:id="321" w:name="_Toc150774738"/>
      <w:r/>
      <w:bookmarkStart w:id="322" w:name="_Toc195842898"/>
      <w:r/>
      <w:bookmarkStart w:id="323" w:name="_Toc151190160"/>
      <w:r/>
      <w:bookmarkStart w:id="324" w:name="_Toc226309777"/>
      <w:r/>
      <w:bookmarkStart w:id="325" w:name="_Toc151193631"/>
      <w:r/>
      <w:bookmarkStart w:id="326" w:name="_Toc226965806"/>
      <w:r/>
      <w:bookmarkStart w:id="327" w:name="_Toc151193847"/>
      <w:r/>
      <w:bookmarkStart w:id="328" w:name="_Toc226965723"/>
      <w:r/>
      <w:bookmarkStart w:id="329" w:name="_Toc164351627"/>
      <w:r/>
      <w:bookmarkStart w:id="330" w:name="_Toc265228371"/>
      <w:r/>
      <w:bookmarkStart w:id="331" w:name="_Toc164229374"/>
      <w:r/>
      <w:bookmarkStart w:id="332" w:name="_Toc305158875"/>
      <w:r/>
      <w:bookmarkStart w:id="333" w:name="_Toc151193703"/>
      <w:r>
        <w:rPr>
          <w:color w:val="auto"/>
          <w:sz w:val="24"/>
          <w:highlight w:val="none"/>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color w:val="auto"/>
          <w:sz w:val="24"/>
          <w:highlight w:val="none"/>
        </w:rPr>
        <w:t xml:space="preserve">、盖章</w:t>
      </w:r>
      <w:r/>
    </w:p>
    <w:p>
      <w:pPr>
        <w:numPr>
          <w:ilvl w:val="1"/>
          <w:numId w:val="9"/>
        </w:numPr>
        <w:spacing w:line="360" w:lineRule="auto"/>
        <w:tabs>
          <w:tab w:val="left" w:pos="1080" w:leader="none"/>
        </w:tabs>
        <w:rPr>
          <w:color w:val="auto"/>
          <w:sz w:val="24"/>
          <w:highlight w:val="none"/>
        </w:rPr>
      </w:pPr>
      <w:r/>
      <w:bookmarkStart w:id="334" w:name="_Toc150480772"/>
      <w:r/>
      <w:bookmarkStart w:id="335" w:name="_Toc226309778"/>
      <w:r/>
      <w:bookmarkStart w:id="336" w:name="_Toc150509285"/>
      <w:r/>
      <w:bookmarkStart w:id="337" w:name="_Toc195842899"/>
      <w:r/>
      <w:bookmarkStart w:id="338" w:name="_Toc151193848"/>
      <w:r/>
      <w:bookmarkStart w:id="339" w:name="_Toc151190161"/>
      <w:r/>
      <w:bookmarkStart w:id="340" w:name="_Toc142311036"/>
      <w:r/>
      <w:bookmarkStart w:id="341" w:name="_Toc127151534"/>
      <w:r/>
      <w:bookmarkStart w:id="342" w:name="_Toc151193704"/>
      <w:r/>
      <w:bookmarkStart w:id="343" w:name="_Toc150774739"/>
      <w:r/>
      <w:bookmarkStart w:id="344" w:name="_Toc305158802"/>
      <w:r/>
      <w:bookmarkStart w:id="345" w:name="_Toc520356159"/>
      <w:r/>
      <w:bookmarkStart w:id="346" w:name="_Toc151193776"/>
      <w:r/>
      <w:bookmarkStart w:id="347" w:name="_Toc226337230"/>
      <w:r/>
      <w:bookmarkStart w:id="348" w:name="_Toc150774634"/>
      <w:r/>
      <w:bookmarkStart w:id="349" w:name="_Toc226965807"/>
      <w:r/>
      <w:bookmarkStart w:id="350" w:name="_Toc151193632"/>
      <w:r/>
      <w:bookmarkStart w:id="351" w:name="_Toc265228372"/>
      <w:r/>
      <w:bookmarkStart w:id="352" w:name="_Toc264969224"/>
      <w:r/>
      <w:bookmarkStart w:id="353" w:name="_Toc151193922"/>
      <w:r/>
      <w:bookmarkStart w:id="354" w:name="_Toc305158876"/>
      <w:r/>
      <w:bookmarkStart w:id="355" w:name="_Toc226965724"/>
      <w:r>
        <w:rPr>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竞争性磋商文件要求盖章的内容，一般通过投标文件编制工具加盖电子签章。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97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numPr>
          <w:ilvl w:val="0"/>
          <w:numId w:val="9"/>
        </w:numPr>
        <w:ind w:left="357" w:hanging="357"/>
        <w:spacing w:line="360" w:lineRule="auto"/>
        <w:tabs>
          <w:tab w:val="left" w:pos="360" w:leader="none"/>
        </w:tabs>
        <w:rPr>
          <w:color w:val="auto"/>
          <w:sz w:val="24"/>
          <w:highlight w:val="none"/>
        </w:rPr>
        <w:outlineLvl w:val="1"/>
      </w:pPr>
      <w:r/>
      <w:bookmarkStart w:id="356" w:name="_Toc305158877"/>
      <w:r/>
      <w:bookmarkStart w:id="357" w:name="_Toc164608649"/>
      <w:r/>
      <w:bookmarkStart w:id="358" w:name="_Toc149720828"/>
      <w:r/>
      <w:bookmarkStart w:id="359" w:name="_Toc164229376"/>
      <w:r/>
      <w:bookmarkStart w:id="360" w:name="_Toc150774635"/>
      <w:r/>
      <w:bookmarkStart w:id="361" w:name="_Toc265228373"/>
      <w:r/>
      <w:bookmarkStart w:id="362" w:name="_Toc226309779"/>
      <w:r/>
      <w:bookmarkStart w:id="363" w:name="_Toc226965808"/>
      <w:r/>
      <w:bookmarkStart w:id="364" w:name="_Toc226337231"/>
      <w:r/>
      <w:bookmarkStart w:id="365" w:name="_Toc151193705"/>
      <w:r/>
      <w:bookmarkStart w:id="366" w:name="_Toc264969225"/>
      <w:r/>
      <w:bookmarkStart w:id="367" w:name="_Toc150509286"/>
      <w:r/>
      <w:bookmarkStart w:id="368" w:name="_Toc127151736"/>
      <w:r/>
      <w:bookmarkStart w:id="369" w:name="_Toc164351629"/>
      <w:r/>
      <w:bookmarkStart w:id="370" w:name="_Toc305158803"/>
      <w:r/>
      <w:bookmarkStart w:id="371" w:name="_Toc151193849"/>
      <w:r/>
      <w:bookmarkStart w:id="372" w:name="_Toc195842900"/>
      <w:r/>
      <w:bookmarkStart w:id="373" w:name="_Toc226965725"/>
      <w:r/>
      <w:bookmarkStart w:id="374" w:name="_Toc151193633"/>
      <w:r/>
      <w:bookmarkStart w:id="375" w:name="_Toc151190162"/>
      <w:r/>
      <w:bookmarkStart w:id="376" w:name="_Toc520356160"/>
      <w:r/>
      <w:bookmarkStart w:id="377" w:name="_Toc127151535"/>
      <w:r/>
      <w:bookmarkStart w:id="378" w:name="_Toc151193777"/>
      <w:r/>
      <w:bookmarkStart w:id="379" w:name="_Toc164229230"/>
      <w:r/>
      <w:bookmarkStart w:id="380" w:name="_Toc127161449"/>
      <w:r/>
      <w:bookmarkStart w:id="381" w:name="_Toc151193923"/>
      <w:r/>
      <w:bookmarkStart w:id="382" w:name="_Toc150480773"/>
      <w:r/>
      <w:bookmarkStart w:id="383" w:name="_Toc150774740"/>
      <w:r/>
      <w:bookmarkStart w:id="384" w:name="_Toc142311037"/>
      <w:r/>
      <w:bookmarkStart w:id="385" w:name="_Toc164608804"/>
      <w:r>
        <w:rPr>
          <w:color w:val="auto"/>
          <w:sz w:val="24"/>
          <w:highlight w:val="none"/>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eastAsia="zh-CN"/>
        </w:rPr>
        <w:t xml:space="preserve">政府采购管理交易系统（苏采云）</w:t>
      </w:r>
      <w:r>
        <w:rPr>
          <w:color w:val="auto"/>
          <w:sz w:val="24"/>
          <w:highlight w:val="none"/>
        </w:rPr>
        <w:t xml:space="preserve">。供应商根据竞争性磋商文件及</w:t>
      </w:r>
      <w:r>
        <w:rPr>
          <w:rFonts w:hint="eastAsia"/>
          <w:color w:val="auto"/>
          <w:sz w:val="24"/>
          <w:highlight w:val="none"/>
          <w:lang w:eastAsia="zh-CN"/>
        </w:rPr>
        <w:t xml:space="preserve">政府采购管理交易系统（苏采云）</w:t>
      </w:r>
      <w:r>
        <w:rPr>
          <w:color w:val="auto"/>
          <w:sz w:val="24"/>
          <w:highlight w:val="none"/>
        </w:rPr>
        <w:t xml:space="preserve">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color w:val="auto"/>
          <w:sz w:val="24"/>
          <w:highlight w:val="none"/>
        </w:rPr>
        <w:outlineLvl w:val="1"/>
      </w:pPr>
      <w:r/>
      <w:bookmarkStart w:id="386" w:name="_Toc164229377"/>
      <w:r/>
      <w:bookmarkStart w:id="387" w:name="_Toc520356161"/>
      <w:r/>
      <w:bookmarkStart w:id="388" w:name="_Toc226337232"/>
      <w:r/>
      <w:bookmarkStart w:id="389" w:name="_Toc142311038"/>
      <w:r/>
      <w:bookmarkStart w:id="390" w:name="_Toc150480774"/>
      <w:r/>
      <w:bookmarkStart w:id="391" w:name="_Toc164608650"/>
      <w:r/>
      <w:bookmarkStart w:id="392" w:name="_Toc151193924"/>
      <w:r/>
      <w:bookmarkStart w:id="393" w:name="_Toc264969226"/>
      <w:r/>
      <w:bookmarkStart w:id="394" w:name="_Toc127161450"/>
      <w:r/>
      <w:bookmarkStart w:id="395" w:name="_Toc195842901"/>
      <w:r/>
      <w:bookmarkStart w:id="396" w:name="_Toc151193706"/>
      <w:r/>
      <w:bookmarkStart w:id="397" w:name="_Toc150774636"/>
      <w:r/>
      <w:bookmarkStart w:id="398" w:name="_Toc305158804"/>
      <w:r/>
      <w:bookmarkStart w:id="399" w:name="_Toc226965726"/>
      <w:r/>
      <w:bookmarkStart w:id="400" w:name="_Toc150509287"/>
      <w:r/>
      <w:bookmarkStart w:id="401" w:name="_Toc305158878"/>
      <w:r/>
      <w:bookmarkStart w:id="402" w:name="_Toc265228374"/>
      <w:r/>
      <w:bookmarkStart w:id="403" w:name="_Toc151193850"/>
      <w:r/>
      <w:bookmarkStart w:id="404" w:name="_Toc127151737"/>
      <w:r/>
      <w:bookmarkStart w:id="405" w:name="_Toc164351630"/>
      <w:r/>
      <w:bookmarkStart w:id="406" w:name="_Toc226309780"/>
      <w:r/>
      <w:bookmarkStart w:id="407" w:name="_Toc226965809"/>
      <w:r/>
      <w:bookmarkStart w:id="408" w:name="_Toc151193778"/>
      <w:r/>
      <w:bookmarkStart w:id="409" w:name="_Toc164608805"/>
      <w:r/>
      <w:bookmarkStart w:id="410" w:name="_Toc164229231"/>
      <w:r/>
      <w:bookmarkStart w:id="411" w:name="_Toc150774741"/>
      <w:r/>
      <w:bookmarkStart w:id="412" w:name="_Toc127151536"/>
      <w:r/>
      <w:bookmarkStart w:id="413" w:name="_Toc151190163"/>
      <w:r/>
      <w:bookmarkStart w:id="414" w:name="_Toc151193634"/>
      <w:r/>
      <w:bookmarkStart w:id="415" w:name="_Toc149720829"/>
      <w:r>
        <w:rPr>
          <w:color w:val="auto"/>
          <w:sz w:val="24"/>
          <w:highlight w:val="none"/>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供应商应在竞争性磋商文件要求提交响应文件截止时间前，将电子响应文件提交至</w:t>
      </w:r>
      <w:r>
        <w:rPr>
          <w:rFonts w:hint="eastAsia"/>
          <w:color w:val="auto"/>
          <w:sz w:val="24"/>
          <w:highlight w:val="none"/>
          <w:lang w:eastAsia="zh-CN"/>
        </w:rPr>
        <w:t xml:space="preserve">政府采购管理交易系统（苏采云）</w:t>
      </w:r>
      <w:r>
        <w:rPr>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416" w:name="_Toc151190164"/>
      <w:r/>
      <w:bookmarkStart w:id="417" w:name="_Toc127151738"/>
      <w:r/>
      <w:bookmarkStart w:id="418" w:name="_Toc226965727"/>
      <w:r/>
      <w:bookmarkStart w:id="419" w:name="_Toc151193635"/>
      <w:r/>
      <w:bookmarkStart w:id="420" w:name="_Toc142311039"/>
      <w:r/>
      <w:bookmarkStart w:id="421" w:name="_Toc151193851"/>
      <w:r/>
      <w:bookmarkStart w:id="422" w:name="_Toc127161451"/>
      <w:r/>
      <w:bookmarkStart w:id="423" w:name="_Toc164351631"/>
      <w:r/>
      <w:bookmarkStart w:id="424" w:name="_Toc150509288"/>
      <w:r/>
      <w:bookmarkStart w:id="425" w:name="_Toc226965810"/>
      <w:r/>
      <w:bookmarkStart w:id="426" w:name="_Toc127151537"/>
      <w:r/>
      <w:bookmarkStart w:id="427" w:name="_Toc164608806"/>
      <w:r/>
      <w:bookmarkStart w:id="428" w:name="_Toc150774637"/>
      <w:r/>
      <w:bookmarkStart w:id="429" w:name="_Toc264969227"/>
      <w:r/>
      <w:bookmarkStart w:id="430" w:name="_Toc164229232"/>
      <w:r/>
      <w:bookmarkStart w:id="431" w:name="_Toc164608651"/>
      <w:r/>
      <w:bookmarkStart w:id="432" w:name="_Toc150480775"/>
      <w:r/>
      <w:bookmarkStart w:id="433" w:name="_Toc520356162"/>
      <w:r/>
      <w:bookmarkStart w:id="434" w:name="_Toc150774742"/>
      <w:r/>
      <w:bookmarkStart w:id="435" w:name="_Toc149720830"/>
      <w:r/>
      <w:bookmarkStart w:id="436" w:name="_Toc151193707"/>
      <w:r/>
      <w:bookmarkStart w:id="437" w:name="_Toc164229378"/>
      <w:r/>
      <w:bookmarkStart w:id="438" w:name="_Toc265228375"/>
      <w:r/>
      <w:bookmarkStart w:id="439" w:name="_Toc226309781"/>
      <w:r/>
      <w:bookmarkStart w:id="440" w:name="_Toc151193779"/>
      <w:r/>
      <w:bookmarkStart w:id="441" w:name="_Toc226337233"/>
      <w:r/>
      <w:bookmarkStart w:id="442" w:name="_Toc305158879"/>
      <w:r/>
      <w:bookmarkStart w:id="443" w:name="_Toc151193925"/>
      <w:r/>
      <w:bookmarkStart w:id="444" w:name="_Toc195842902"/>
      <w:r/>
      <w:bookmarkStart w:id="445" w:name="_Toc305158805"/>
      <w:r>
        <w:rPr>
          <w:color w:val="auto"/>
          <w:sz w:val="24"/>
          <w:highlight w:val="none"/>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pStyle w:val="975"/>
        <w:spacing w:before="0" w:line="360" w:lineRule="auto"/>
        <w:rPr>
          <w:rFonts w:ascii="Times New Roman" w:hAnsi="Times New Roman" w:eastAsia="宋体"/>
          <w:color w:val="auto"/>
          <w:sz w:val="28"/>
          <w:highlight w:val="none"/>
        </w:rPr>
      </w:pPr>
      <w:r/>
      <w:bookmarkStart w:id="446" w:name="_Toc151190165"/>
      <w:r/>
      <w:bookmarkStart w:id="447" w:name="_Toc127151538"/>
      <w:r/>
      <w:bookmarkStart w:id="448" w:name="_Toc150774743"/>
      <w:r/>
      <w:bookmarkStart w:id="449" w:name="_Toc226965728"/>
      <w:r/>
      <w:bookmarkStart w:id="450" w:name="_Toc305158880"/>
      <w:r/>
      <w:bookmarkStart w:id="451" w:name="_Toc520356163"/>
      <w:r/>
      <w:bookmarkStart w:id="452" w:name="_Toc142311040"/>
      <w:r/>
      <w:bookmarkStart w:id="453" w:name="_Toc150509289"/>
      <w:r/>
      <w:bookmarkStart w:id="454" w:name="_Toc150480776"/>
      <w:r/>
      <w:bookmarkStart w:id="455" w:name="_Toc151193852"/>
      <w:r/>
      <w:bookmarkStart w:id="456" w:name="_Toc305158806"/>
      <w:r/>
      <w:bookmarkStart w:id="457" w:name="_Toc151193926"/>
      <w:r/>
      <w:bookmarkStart w:id="458" w:name="_Toc226337234"/>
      <w:r/>
      <w:bookmarkStart w:id="459" w:name="_Toc226309782"/>
      <w:r/>
      <w:bookmarkStart w:id="460" w:name="_Toc150774638"/>
      <w:r/>
      <w:bookmarkStart w:id="461" w:name="_Toc265228376"/>
      <w:r/>
      <w:bookmarkStart w:id="462" w:name="_Toc151193780"/>
      <w:r/>
      <w:bookmarkStart w:id="463" w:name="_Toc226965811"/>
      <w:r/>
      <w:bookmarkStart w:id="464" w:name="_Toc195842903"/>
      <w:r/>
      <w:bookmarkStart w:id="465" w:name="_Toc151193636"/>
      <w:r/>
      <w:bookmarkStart w:id="466" w:name="_Toc151193708"/>
      <w:r/>
      <w:bookmarkStart w:id="467" w:name="_Toc264969228"/>
      <w:r>
        <w:rPr>
          <w:rFonts w:ascii="Times New Roman" w:hAnsi="Times New Roman" w:eastAsia="宋体"/>
          <w:color w:val="auto"/>
          <w:sz w:val="28"/>
          <w:highlight w:val="none"/>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auto"/>
          <w:sz w:val="28"/>
          <w:highlight w:val="none"/>
        </w:rPr>
        <w:t xml:space="preserve">评审</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响应文件的解密与开启</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ind w:left="357"/>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本项目采用不见面交易模式，使用</w:t>
      </w:r>
      <w:r>
        <w:rPr>
          <w:rFonts w:hint="eastAsia"/>
          <w:color w:val="auto"/>
          <w:sz w:val="24"/>
          <w:highlight w:val="none"/>
          <w:lang w:eastAsia="zh-CN"/>
        </w:rPr>
        <w:t xml:space="preserve">政府采购管理交易系统（苏采云）</w:t>
      </w:r>
      <w:r>
        <w:rPr>
          <w:color w:val="auto"/>
          <w:sz w:val="24"/>
          <w:highlight w:val="none"/>
        </w:rPr>
        <w:t xml:space="preserve">在线进行解密。供应商应在规定的时间内对响应文件进行解密，因非系统原因导致的解密失败，视为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9"/>
        </w:numPr>
        <w:ind w:left="1077" w:hanging="720"/>
        <w:spacing w:line="360" w:lineRule="auto"/>
        <w:tabs>
          <w:tab w:val="left" w:pos="1080" w:leader="none"/>
          <w:tab w:val="left" w:pos="2014" w:leader="none"/>
        </w:tabs>
        <w:rPr>
          <w:color w:val="auto"/>
          <w:sz w:val="24"/>
          <w:highlight w:val="none"/>
        </w:rPr>
      </w:pPr>
      <w:r/>
      <w:bookmarkStart w:id="468" w:name="_Toc520356165"/>
      <w:r>
        <w:rPr>
          <w:color w:val="auto"/>
          <w:sz w:val="24"/>
          <w:highlight w:val="none"/>
        </w:rPr>
        <w:t xml:space="preserve">本项目不公开报价。</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如果在采购活动过程中出现以下情形，导致“</w:t>
      </w:r>
      <w:r>
        <w:rPr>
          <w:rFonts w:hint="eastAsia"/>
          <w:color w:val="auto"/>
          <w:sz w:val="24"/>
          <w:highlight w:val="none"/>
          <w:lang w:eastAsia="zh-CN" w:bidi="ar"/>
        </w:rPr>
        <w:t xml:space="preserve">政府采购管理交易系统（苏采云）</w:t>
      </w:r>
      <w:r>
        <w:rPr>
          <w:color w:val="auto"/>
          <w:sz w:val="24"/>
          <w:highlight w:val="none"/>
        </w:rPr>
        <w:t xml:space="preserve">”系统无法正常运行，或者无法保证本项目采购活动的公平、公正和安全时，代理机构可以延缓或者暂停采购活动，情况严重的可以终止采购活动：</w:t>
      </w:r>
      <w:r>
        <w:rPr>
          <w:color w:val="auto"/>
          <w:sz w:val="24"/>
          <w:highlight w:val="none"/>
        </w:rPr>
        <w:br w:type="textWrapping" w:clear="all"/>
      </w:r>
      <w:r>
        <w:rPr>
          <w:color w:val="auto"/>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color w:val="auto"/>
          <w:sz w:val="24"/>
          <w:highlight w:val="none"/>
        </w:rPr>
      </w:pPr>
      <w:r>
        <w:rPr>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68"/>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磋商小组</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469" w:name="_Toc520356166"/>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69"/>
      <w:r/>
      <w:bookmarkStart w:id="470" w:name="_Toc520356169"/>
      <w:r/>
      <w:r/>
    </w:p>
    <w:p>
      <w:pPr>
        <w:numPr>
          <w:ilvl w:val="0"/>
          <w:numId w:val="9"/>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975"/>
        <w:spacing w:before="0" w:line="360" w:lineRule="auto"/>
        <w:rPr>
          <w:rFonts w:ascii="Times New Roman" w:hAnsi="Times New Roman" w:eastAsia="宋体"/>
          <w:color w:val="auto"/>
          <w:sz w:val="28"/>
          <w:highlight w:val="none"/>
        </w:rPr>
      </w:pPr>
      <w:r/>
      <w:bookmarkStart w:id="471" w:name="_Toc305158813"/>
      <w:r/>
      <w:bookmarkStart w:id="472" w:name="_Toc265228383"/>
      <w:r/>
      <w:bookmarkStart w:id="473" w:name="_Toc150774750"/>
      <w:r/>
      <w:bookmarkStart w:id="474" w:name="_Toc226965818"/>
      <w:r/>
      <w:bookmarkStart w:id="475" w:name="_Toc151193787"/>
      <w:r/>
      <w:bookmarkStart w:id="476" w:name="_Toc151193715"/>
      <w:r/>
      <w:bookmarkStart w:id="477" w:name="_Toc151190172"/>
      <w:r/>
      <w:bookmarkStart w:id="478" w:name="_Toc226965735"/>
      <w:r/>
      <w:bookmarkStart w:id="479" w:name="_Toc142311047"/>
      <w:r/>
      <w:bookmarkStart w:id="480" w:name="_Toc151193643"/>
      <w:r/>
      <w:bookmarkStart w:id="481" w:name="_Toc264969235"/>
      <w:r/>
      <w:bookmarkStart w:id="482" w:name="_Toc226309789"/>
      <w:r/>
      <w:bookmarkStart w:id="483" w:name="_Toc127151545"/>
      <w:r/>
      <w:bookmarkStart w:id="484" w:name="_Toc151193859"/>
      <w:r/>
      <w:bookmarkStart w:id="485" w:name="_Toc150509296"/>
      <w:r/>
      <w:bookmarkStart w:id="486" w:name="_Toc226337241"/>
      <w:r/>
      <w:bookmarkStart w:id="487" w:name="_Toc151193933"/>
      <w:r/>
      <w:bookmarkStart w:id="488" w:name="_Toc150480783"/>
      <w:r/>
      <w:bookmarkStart w:id="489" w:name="_Toc195842910"/>
      <w:r/>
      <w:bookmarkStart w:id="490" w:name="_Toc305158887"/>
      <w:r/>
      <w:bookmarkStart w:id="491" w:name="_Toc150774645"/>
      <w:r>
        <w:rPr>
          <w:rFonts w:ascii="Times New Roman" w:hAnsi="Times New Roman" w:eastAsia="宋体"/>
          <w:color w:val="auto"/>
          <w:sz w:val="28"/>
          <w:highlight w:val="none"/>
        </w:rPr>
        <w:t xml:space="preserve">六   </w:t>
      </w:r>
      <w:bookmarkEnd w:id="470"/>
      <w:r>
        <w:rPr>
          <w:rFonts w:ascii="Times New Roman" w:hAnsi="Times New Roman" w:eastAsia="宋体"/>
          <w:color w:val="auto"/>
          <w:sz w:val="28"/>
          <w:highlight w:val="none"/>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auto"/>
          <w:sz w:val="28"/>
          <w:highlight w:val="none"/>
        </w:rPr>
        <w:t xml:space="preserve">成交</w:t>
      </w:r>
      <w:r/>
    </w:p>
    <w:p>
      <w:pPr>
        <w:numPr>
          <w:ilvl w:val="0"/>
          <w:numId w:val="9"/>
        </w:numPr>
        <w:ind w:left="357" w:hanging="357"/>
        <w:spacing w:line="360" w:lineRule="auto"/>
        <w:tabs>
          <w:tab w:val="left" w:pos="360" w:leader="none"/>
        </w:tabs>
        <w:rPr>
          <w:color w:val="auto"/>
          <w:sz w:val="24"/>
          <w:highlight w:val="none"/>
        </w:rPr>
        <w:outlineLvl w:val="1"/>
      </w:pPr>
      <w:r/>
      <w:bookmarkStart w:id="492" w:name="_Toc151193789"/>
      <w:r/>
      <w:bookmarkStart w:id="493" w:name="_Toc164351641"/>
      <w:r/>
      <w:bookmarkStart w:id="494" w:name="_Toc164608661"/>
      <w:r/>
      <w:bookmarkStart w:id="495" w:name="_Toc127151547"/>
      <w:r/>
      <w:bookmarkStart w:id="496" w:name="_Toc151193645"/>
      <w:r/>
      <w:bookmarkStart w:id="497" w:name="_Toc305158889"/>
      <w:r/>
      <w:bookmarkStart w:id="498" w:name="_Toc151193861"/>
      <w:r/>
      <w:bookmarkStart w:id="499" w:name="_Toc226337243"/>
      <w:r/>
      <w:bookmarkStart w:id="500" w:name="_Toc150509298"/>
      <w:r/>
      <w:bookmarkStart w:id="501" w:name="_Toc195842912"/>
      <w:r/>
      <w:bookmarkStart w:id="502" w:name="_Toc150774752"/>
      <w:r/>
      <w:bookmarkStart w:id="503" w:name="_Toc150774647"/>
      <w:r/>
      <w:bookmarkStart w:id="504" w:name="_Toc265228385"/>
      <w:r/>
      <w:bookmarkStart w:id="505" w:name="_Toc164608816"/>
      <w:r/>
      <w:bookmarkStart w:id="506" w:name="_Toc226965737"/>
      <w:r/>
      <w:bookmarkStart w:id="507" w:name="_Toc127151748"/>
      <w:r/>
      <w:bookmarkStart w:id="508" w:name="_Toc164229242"/>
      <w:r/>
      <w:bookmarkStart w:id="509" w:name="_Toc142311049"/>
      <w:r/>
      <w:bookmarkStart w:id="510" w:name="_Toc151190174"/>
      <w:r/>
      <w:bookmarkStart w:id="511" w:name="_Toc151193717"/>
      <w:r/>
      <w:bookmarkStart w:id="512" w:name="_Toc150480785"/>
      <w:r/>
      <w:bookmarkStart w:id="513" w:name="_Toc151193935"/>
      <w:r/>
      <w:bookmarkStart w:id="514" w:name="_Toc264969237"/>
      <w:r/>
      <w:bookmarkStart w:id="515" w:name="_Toc149720840"/>
      <w:r/>
      <w:bookmarkStart w:id="516" w:name="_Toc226965820"/>
      <w:r/>
      <w:bookmarkStart w:id="517" w:name="_Toc164229388"/>
      <w:r/>
      <w:bookmarkStart w:id="518" w:name="_Toc305158815"/>
      <w:r/>
      <w:bookmarkStart w:id="519" w:name="_Toc226309791"/>
      <w:r/>
      <w:bookmarkStart w:id="520" w:name="_Toc127161461"/>
      <w:r>
        <w:rPr>
          <w:color w:val="auto"/>
          <w:sz w:val="24"/>
          <w:highlight w:val="none"/>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9"/>
        </w:numPr>
        <w:ind w:left="357" w:hanging="357"/>
        <w:spacing w:line="360" w:lineRule="auto"/>
        <w:tabs>
          <w:tab w:val="left" w:pos="360" w:leader="none"/>
        </w:tabs>
        <w:rPr>
          <w:color w:val="auto"/>
          <w:sz w:val="24"/>
          <w:highlight w:val="none"/>
        </w:rPr>
        <w:outlineLvl w:val="1"/>
      </w:pPr>
      <w:r/>
      <w:bookmarkStart w:id="521" w:name="_Toc305158891"/>
      <w:r/>
      <w:bookmarkStart w:id="522" w:name="_Toc305158817"/>
      <w:r/>
      <w:bookmarkStart w:id="523" w:name="_Toc226965822"/>
      <w:r/>
      <w:bookmarkStart w:id="524" w:name="_Toc151193937"/>
      <w:r/>
      <w:bookmarkStart w:id="525" w:name="_Toc164608663"/>
      <w:r/>
      <w:bookmarkStart w:id="526" w:name="_Toc226309793"/>
      <w:r/>
      <w:bookmarkStart w:id="527" w:name="_Toc142311051"/>
      <w:r/>
      <w:bookmarkStart w:id="528" w:name="_Toc195842914"/>
      <w:r/>
      <w:bookmarkStart w:id="529" w:name="_Toc151193863"/>
      <w:r/>
      <w:bookmarkStart w:id="530" w:name="_Toc150509300"/>
      <w:r/>
      <w:bookmarkStart w:id="531" w:name="_Toc151193719"/>
      <w:r/>
      <w:bookmarkStart w:id="532" w:name="_Toc226337245"/>
      <w:r/>
      <w:bookmarkStart w:id="533" w:name="_Toc151193647"/>
      <w:r/>
      <w:bookmarkStart w:id="534" w:name="_Toc127151750"/>
      <w:r/>
      <w:bookmarkStart w:id="535" w:name="_Toc264969239"/>
      <w:r/>
      <w:bookmarkStart w:id="536" w:name="_Toc127161463"/>
      <w:r/>
      <w:bookmarkStart w:id="537" w:name="_Toc127151549"/>
      <w:r/>
      <w:bookmarkStart w:id="538" w:name="_Toc164229244"/>
      <w:r/>
      <w:bookmarkStart w:id="539" w:name="_Toc164351643"/>
      <w:r/>
      <w:bookmarkStart w:id="540" w:name="_Toc226965739"/>
      <w:r/>
      <w:bookmarkStart w:id="541" w:name="_Toc265228387"/>
      <w:r/>
      <w:bookmarkStart w:id="542" w:name="_Toc149720842"/>
      <w:r/>
      <w:bookmarkStart w:id="543" w:name="_Toc164229390"/>
      <w:r/>
      <w:bookmarkStart w:id="544" w:name="_Toc164608818"/>
      <w:r/>
      <w:bookmarkStart w:id="545" w:name="_Toc151190176"/>
      <w:r/>
      <w:bookmarkStart w:id="546" w:name="_Toc150774649"/>
      <w:r/>
      <w:bookmarkStart w:id="547" w:name="_Toc151193791"/>
      <w:r/>
      <w:bookmarkStart w:id="548" w:name="_Toc150480787"/>
      <w:r/>
      <w:bookmarkStart w:id="549" w:name="_Toc150774754"/>
      <w:r/>
      <w:bookmarkStart w:id="550" w:name="_Toc520356176"/>
      <w:r/>
      <w:bookmarkStart w:id="551" w:name="_Ref467307090"/>
      <w:r/>
      <w:bookmarkStart w:id="552" w:name="_Ref467306425"/>
      <w:r>
        <w:rPr>
          <w:color w:val="auto"/>
          <w:sz w:val="24"/>
          <w:highlight w:val="none"/>
        </w:rPr>
        <w:t xml:space="preserve">成交公告与成交通知书</w:t>
      </w:r>
      <w:bookmarkEnd w:id="521"/>
      <w:r/>
      <w:bookmarkEnd w:id="522"/>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采购人或采购代理机构将在成交供应商确定后2个工作日内，在常州市政府采购网公告成交结果，同时向成交供应商发出成交通知书，成交公告期限为1个工作日。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9"/>
        </w:numPr>
        <w:spacing w:line="360" w:lineRule="auto"/>
        <w:rPr>
          <w:color w:val="auto"/>
          <w:sz w:val="24"/>
          <w:highlight w:val="none"/>
        </w:rPr>
      </w:pPr>
      <w:r>
        <w:rPr>
          <w:color w:val="auto"/>
          <w:sz w:val="24"/>
          <w:highlight w:val="none"/>
        </w:rPr>
        <w:t xml:space="preserve">出现影响采购公正的违法、违规行为的；</w:t>
      </w:r>
      <w:r/>
    </w:p>
    <w:p>
      <w:pPr>
        <w:numPr>
          <w:ilvl w:val="2"/>
          <w:numId w:val="9"/>
        </w:numPr>
        <w:spacing w:line="360" w:lineRule="auto"/>
        <w:rPr>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auto"/>
          <w:sz w:val="24"/>
          <w:highlight w:val="none"/>
        </w:rPr>
      </w:pPr>
      <w:r>
        <w:rPr>
          <w:color w:val="auto"/>
          <w:spacing w:val="2"/>
          <w:sz w:val="24"/>
          <w:highlight w:val="none"/>
        </w:rPr>
        <w:t xml:space="preserve">平台系统</w:t>
      </w:r>
      <w:r>
        <w:rPr>
          <w:color w:val="auto"/>
          <w:sz w:val="24"/>
          <w:highlight w:val="none"/>
        </w:rPr>
        <w:t xml:space="preserve">出现序号17.7的所述情形，情况严重且影响采购活动公平、公正性的。</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numPr>
          <w:ilvl w:val="0"/>
          <w:numId w:val="9"/>
        </w:numPr>
        <w:ind w:left="357" w:hanging="357"/>
        <w:spacing w:line="360" w:lineRule="auto"/>
        <w:tabs>
          <w:tab w:val="left" w:pos="360" w:leader="none"/>
        </w:tabs>
        <w:rPr>
          <w:color w:val="auto"/>
          <w:sz w:val="24"/>
          <w:highlight w:val="none"/>
        </w:rPr>
        <w:outlineLvl w:val="1"/>
      </w:pPr>
      <w:r/>
      <w:bookmarkStart w:id="553" w:name="_Ref467307204"/>
      <w:r/>
      <w:bookmarkStart w:id="554" w:name="_Toc265228388"/>
      <w:r/>
      <w:bookmarkStart w:id="555" w:name="_Toc151190177"/>
      <w:r/>
      <w:bookmarkStart w:id="556" w:name="_Toc226337246"/>
      <w:r/>
      <w:bookmarkStart w:id="557" w:name="_Toc150774755"/>
      <w:r/>
      <w:bookmarkStart w:id="558" w:name="_Toc149720843"/>
      <w:r/>
      <w:bookmarkStart w:id="559" w:name="_Ref467307062"/>
      <w:r/>
      <w:bookmarkStart w:id="560" w:name="_Toc151193648"/>
      <w:r/>
      <w:bookmarkStart w:id="561" w:name="_Toc151193720"/>
      <w:r/>
      <w:bookmarkStart w:id="562" w:name="_Toc520356175"/>
      <w:r/>
      <w:bookmarkStart w:id="563" w:name="_Toc151193938"/>
      <w:r/>
      <w:bookmarkStart w:id="564" w:name="_Ref467306377"/>
      <w:r/>
      <w:bookmarkStart w:id="565" w:name="_Toc305158818"/>
      <w:r/>
      <w:bookmarkStart w:id="566" w:name="_Toc142311052"/>
      <w:r/>
      <w:bookmarkStart w:id="567" w:name="_Toc127161464"/>
      <w:r/>
      <w:bookmarkStart w:id="568" w:name="_Toc164229391"/>
      <w:r/>
      <w:bookmarkStart w:id="569" w:name="_Toc150774650"/>
      <w:r/>
      <w:bookmarkStart w:id="570" w:name="_Toc127151550"/>
      <w:r/>
      <w:bookmarkStart w:id="571" w:name="_Ref467306978"/>
      <w:r/>
      <w:bookmarkStart w:id="572" w:name="_Toc151193864"/>
      <w:r/>
      <w:bookmarkStart w:id="573" w:name="_Toc305158892"/>
      <w:r/>
      <w:bookmarkStart w:id="574" w:name="_Toc226965740"/>
      <w:r/>
      <w:bookmarkStart w:id="575" w:name="_Toc127151751"/>
      <w:r/>
      <w:bookmarkStart w:id="576" w:name="_Toc151193792"/>
      <w:r/>
      <w:bookmarkStart w:id="577" w:name="_Toc150480788"/>
      <w:r/>
      <w:bookmarkStart w:id="578" w:name="_Toc150509301"/>
      <w:r/>
      <w:bookmarkStart w:id="579" w:name="_Toc164351644"/>
      <w:r/>
      <w:bookmarkStart w:id="580" w:name="_Toc226309794"/>
      <w:r/>
      <w:bookmarkStart w:id="581" w:name="_Toc195842915"/>
      <w:r/>
      <w:bookmarkStart w:id="582" w:name="_Toc164229245"/>
      <w:r/>
      <w:bookmarkStart w:id="583" w:name="_Toc264969240"/>
      <w:r/>
      <w:bookmarkStart w:id="584" w:name="_Toc164608819"/>
      <w:r/>
      <w:bookmarkStart w:id="585" w:name="_Toc226965823"/>
      <w:r/>
      <w:bookmarkStart w:id="586" w:name="_Toc164608664"/>
      <w:r>
        <w:rPr>
          <w:color w:val="auto"/>
          <w:sz w:val="24"/>
          <w:highlight w:val="none"/>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550"/>
      <w:r/>
      <w:bookmarkEnd w:id="551"/>
      <w:r/>
      <w:bookmarkEnd w:id="552"/>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9"/>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9"/>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auto"/>
          <w:sz w:val="24"/>
          <w:highlight w:val="none"/>
        </w:rPr>
      </w:pPr>
      <w:r>
        <w:rPr>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auto"/>
          <w:sz w:val="24"/>
          <w:highlight w:val="none"/>
        </w:rPr>
      </w:pPr>
      <w:r>
        <w:rPr>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49"/>
          <w:color w:val="auto"/>
          <w:highlight w:val="none"/>
        </w:rPr>
        <w:t xml:space="preserve">http://gk</w:t>
      </w:r>
      <w:bookmarkStart w:id="587" w:name="_Hlt100654014"/>
      <w:r>
        <w:rPr>
          <w:rStyle w:val="1049"/>
          <w:color w:val="auto"/>
          <w:highlight w:val="none"/>
        </w:rPr>
        <w:t xml:space="preserve">s</w:t>
      </w:r>
      <w:bookmarkEnd w:id="587"/>
      <w:r>
        <w:rPr>
          <w:rStyle w:val="1049"/>
          <w:color w:val="auto"/>
          <w:highlight w:val="none"/>
        </w:rPr>
        <w:t xml:space="preserve">.m</w:t>
      </w:r>
      <w:bookmarkStart w:id="588" w:name="_Hlt100653993"/>
      <w:r/>
      <w:bookmarkStart w:id="589" w:name="_Hlt100653994"/>
      <w:r>
        <w:rPr>
          <w:rStyle w:val="1049"/>
          <w:color w:val="auto"/>
          <w:highlight w:val="none"/>
        </w:rPr>
        <w:t xml:space="preserve">o</w:t>
      </w:r>
      <w:bookmarkEnd w:id="588"/>
      <w:r/>
      <w:bookmarkEnd w:id="589"/>
      <w:r/>
      <w:bookmarkStart w:id="590" w:name="_Hlt101169156"/>
      <w:r>
        <w:rPr>
          <w:rStyle w:val="1049"/>
          <w:color w:val="auto"/>
          <w:highlight w:val="none"/>
        </w:rPr>
        <w:t xml:space="preserve">f</w:t>
      </w:r>
      <w:bookmarkEnd w:id="590"/>
      <w:r>
        <w:rPr>
          <w:rStyle w:val="1049"/>
          <w:color w:val="auto"/>
          <w:highlight w:val="none"/>
        </w:rPr>
        <w:t xml:space="preserve">.gov.cn/ztztz/zhengfucaigouguanli/201802/t20180201_2804589.htm</w:t>
      </w:r>
      <w:r>
        <w:rPr>
          <w:rStyle w:val="1049"/>
          <w:color w:val="auto"/>
          <w:highlight w:val="none"/>
        </w:rPr>
        <w:fldChar w:fldCharType="end"/>
      </w:r>
      <w:r>
        <w:rPr>
          <w:color w:val="auto"/>
          <w:highlight w:val="none"/>
        </w:rPr>
        <w:t xml:space="preserve">）</w:t>
      </w:r>
      <w:r/>
    </w:p>
    <w:p>
      <w:pPr>
        <w:numPr>
          <w:ilvl w:val="2"/>
          <w:numId w:val="9"/>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9"/>
        </w:numPr>
        <w:ind w:left="1077" w:hanging="720"/>
        <w:spacing w:line="360" w:lineRule="auto"/>
        <w:tabs>
          <w:tab w:val="left" w:pos="1080" w:leader="none"/>
          <w:tab w:val="left" w:pos="2014" w:leader="none"/>
        </w:tabs>
        <w:rPr>
          <w:color w:val="auto"/>
          <w:sz w:val="24"/>
          <w:highlight w:val="none"/>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bookmarkStart w:id="591" w:name="_Toc142311056"/>
      <w:r/>
      <w:bookmarkStart w:id="592" w:name="_Toc265228392"/>
      <w:r/>
      <w:bookmarkStart w:id="593" w:name="_Toc127151554"/>
      <w:r/>
      <w:bookmarkStart w:id="594" w:name="_Toc305158896"/>
      <w:r/>
      <w:bookmarkStart w:id="595" w:name="_Toc150480792"/>
      <w:r/>
      <w:bookmarkStart w:id="596" w:name="_Toc353873934"/>
      <w:r/>
      <w:bookmarkStart w:id="597" w:name="_Toc264969244"/>
      <w:r/>
      <w:bookmarkStart w:id="598" w:name="_Toc226337250"/>
      <w:r/>
      <w:bookmarkStart w:id="599" w:name="_Toc353873664"/>
      <w:r/>
      <w:bookmarkStart w:id="600" w:name="_Toc226965827"/>
      <w:r/>
      <w:bookmarkStart w:id="601" w:name="_Toc353825544"/>
      <w:r/>
      <w:bookmarkStart w:id="602" w:name="_Toc305158822"/>
      <w:r/>
      <w:bookmarkStart w:id="603" w:name="_Toc150774759"/>
      <w:r/>
      <w:r/>
    </w:p>
    <w:p>
      <w:pPr>
        <w:jc w:val="center"/>
        <w:spacing w:line="360" w:lineRule="auto"/>
        <w:rPr>
          <w:b/>
          <w:color w:val="auto"/>
          <w:sz w:val="36"/>
          <w:szCs w:val="36"/>
          <w:highlight w:val="none"/>
        </w:rPr>
        <w:outlineLvl w:val="0"/>
      </w:pPr>
      <w:r/>
      <w:bookmarkStart w:id="604" w:name="_Toc104818927"/>
      <w:r>
        <w:rPr>
          <w:b/>
          <w:color w:val="auto"/>
          <w:sz w:val="36"/>
          <w:szCs w:val="36"/>
          <w:highlight w:val="none"/>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color w:val="auto"/>
          <w:sz w:val="36"/>
          <w:szCs w:val="36"/>
          <w:highlight w:val="none"/>
        </w:rPr>
        <w:t xml:space="preserve">评审程序、评审方法和评审标准</w:t>
      </w:r>
      <w:bookmarkEnd w:id="604"/>
      <w:r/>
      <w:bookmarkStart w:id="605" w:name="_Toc487900382"/>
      <w:r/>
      <w:r/>
    </w:p>
    <w:p>
      <w:pPr>
        <w:pStyle w:val="975"/>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一、评审程序</w:t>
      </w:r>
      <w:r/>
    </w:p>
    <w:p>
      <w:pPr>
        <w:jc w:val="left"/>
        <w:tabs>
          <w:tab w:val="left" w:pos="1080" w:leader="none"/>
        </w:tabs>
        <w:rPr>
          <w:b/>
          <w:color w:val="auto"/>
          <w:sz w:val="24"/>
          <w:highlight w:val="none"/>
        </w:rPr>
      </w:pPr>
      <w:r>
        <w:rPr>
          <w:b/>
          <w:color w:val="auto"/>
          <w:sz w:val="24"/>
          <w:highlight w:val="none"/>
        </w:rPr>
        <w:tab/>
      </w:r>
      <w:bookmarkEnd w:id="605"/>
      <w:r/>
      <w:r/>
    </w:p>
    <w:p>
      <w:pPr>
        <w:numPr>
          <w:ilvl w:val="0"/>
          <w:numId w:val="11"/>
        </w:numPr>
        <w:spacing w:line="360" w:lineRule="auto"/>
        <w:tabs>
          <w:tab w:val="left" w:pos="360" w:leader="none"/>
        </w:tabs>
        <w:rPr>
          <w:color w:val="auto"/>
          <w:sz w:val="24"/>
          <w:highlight w:val="none"/>
        </w:rPr>
        <w:outlineLvl w:val="1"/>
      </w:pPr>
      <w:r/>
      <w:bookmarkStart w:id="606" w:name="_Toc151193929"/>
      <w:r/>
      <w:bookmarkStart w:id="607" w:name="_Toc150480779"/>
      <w:r/>
      <w:bookmarkStart w:id="608" w:name="_Toc150509292"/>
      <w:r/>
      <w:bookmarkStart w:id="609" w:name="_Toc264969231"/>
      <w:r/>
      <w:bookmarkStart w:id="610" w:name="_Toc164351635"/>
      <w:r/>
      <w:bookmarkStart w:id="611" w:name="_Toc164229382"/>
      <w:r/>
      <w:bookmarkStart w:id="612" w:name="_Toc151193639"/>
      <w:r/>
      <w:bookmarkStart w:id="613" w:name="_Toc164608810"/>
      <w:r/>
      <w:bookmarkStart w:id="614" w:name="_Toc151190168"/>
      <w:r/>
      <w:bookmarkStart w:id="615" w:name="_Toc226337237"/>
      <w:r/>
      <w:bookmarkStart w:id="616" w:name="_Toc127151742"/>
      <w:r/>
      <w:bookmarkStart w:id="617" w:name="_Toc142311043"/>
      <w:r/>
      <w:bookmarkStart w:id="618" w:name="_Toc226309785"/>
      <w:r/>
      <w:bookmarkStart w:id="619" w:name="_Toc151193783"/>
      <w:r/>
      <w:bookmarkStart w:id="620" w:name="_Toc127151541"/>
      <w:r/>
      <w:bookmarkStart w:id="621" w:name="_Toc305158809"/>
      <w:r/>
      <w:bookmarkStart w:id="622" w:name="_Toc305158883"/>
      <w:r/>
      <w:bookmarkStart w:id="623" w:name="_Toc195842906"/>
      <w:r/>
      <w:bookmarkStart w:id="624" w:name="_Toc150774746"/>
      <w:r/>
      <w:bookmarkStart w:id="625" w:name="_Toc151193855"/>
      <w:r/>
      <w:bookmarkStart w:id="626" w:name="_Toc149720834"/>
      <w:r/>
      <w:bookmarkStart w:id="627" w:name="_Toc127161455"/>
      <w:r/>
      <w:bookmarkStart w:id="628" w:name="_Toc151193711"/>
      <w:r/>
      <w:bookmarkStart w:id="629" w:name="_Toc265228379"/>
      <w:r/>
      <w:bookmarkStart w:id="630" w:name="_Toc150774641"/>
      <w:r/>
      <w:bookmarkStart w:id="631" w:name="_Toc226965814"/>
      <w:r/>
      <w:bookmarkStart w:id="632" w:name="_Toc226965731"/>
      <w:r/>
      <w:bookmarkStart w:id="633" w:name="_Toc164608655"/>
      <w:r/>
      <w:bookmarkStart w:id="634" w:name="_Toc164229236"/>
      <w:r/>
      <w:bookmarkStart w:id="635" w:name="_Toc353825551"/>
      <w:r/>
      <w:bookmarkStart w:id="636" w:name="_Toc353873941"/>
      <w:r>
        <w:rPr>
          <w:color w:val="auto"/>
          <w:sz w:val="24"/>
          <w:highlight w:val="none"/>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color w:val="auto"/>
          <w:sz w:val="24"/>
          <w:highlight w:val="none"/>
        </w:rPr>
        <w:t xml:space="preserve">资格性检查和符合性审查</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75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95"/>
        <w:gridCol w:w="4618"/>
        <w:gridCol w:w="167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bookmarkStart w:id="637" w:name="_Hlt487972895"/>
            <w:r/>
            <w:bookmarkEnd w:id="637"/>
            <w:r>
              <w:rPr>
                <w:rFonts w:hint="eastAsia" w:ascii="宋体" w:hAnsi="宋体" w:eastAsia="宋体" w:cs="宋体"/>
                <w:b/>
                <w:color w:val="auto"/>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能力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具有良好的商业信誉和健全的财务会计制度；须</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上一年度</w:t>
            </w:r>
            <w:r>
              <w:rPr>
                <w:rFonts w:hint="eastAsia" w:ascii="宋体" w:hAnsi="宋体" w:eastAsia="宋体" w:cs="宋体"/>
                <w:color w:val="auto"/>
                <w:sz w:val="24"/>
                <w:highlight w:val="none"/>
              </w:rPr>
              <w:t xml:space="preserve">的财务</w:t>
            </w:r>
            <w:r>
              <w:rPr>
                <w:rFonts w:hint="eastAsia" w:ascii="宋体" w:hAnsi="宋体" w:eastAsia="宋体" w:cs="宋体"/>
                <w:color w:val="auto"/>
                <w:sz w:val="24"/>
                <w:highlight w:val="none"/>
                <w:lang w:val="en-US" w:eastAsia="zh-CN"/>
              </w:rPr>
              <w:t xml:space="preserve">状况报告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内容至少须包含</w:t>
            </w:r>
            <w:r>
              <w:rPr>
                <w:rFonts w:hint="eastAsia" w:ascii="宋体" w:hAnsi="宋体" w:eastAsia="宋体" w:cs="宋体"/>
                <w:color w:val="auto"/>
                <w:sz w:val="24"/>
                <w:highlight w:val="none"/>
                <w:lang w:eastAsia="zh-CN"/>
              </w:rPr>
              <w:t xml:space="preserve">资产负债表和利润表；</w:t>
            </w:r>
            <w:r>
              <w:rPr>
                <w:rFonts w:hint="eastAsia" w:ascii="宋体" w:hAnsi="宋体" w:eastAsia="宋体" w:cs="宋体"/>
                <w:color w:val="auto"/>
                <w:sz w:val="24"/>
                <w:highlight w:val="none"/>
              </w:rPr>
              <w:t xml:space="preserve">成立时间至提交投标文件截止时间不足一年的</w:t>
            </w:r>
            <w:r>
              <w:rPr>
                <w:rFonts w:hint="eastAsia" w:ascii="宋体" w:hAnsi="宋体" w:eastAsia="宋体" w:cs="宋体"/>
                <w:color w:val="auto"/>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具有履行合同所必需的设备和专业技术能力；须提供</w:t>
            </w:r>
            <w:r>
              <w:rPr>
                <w:rFonts w:hint="eastAsia" w:ascii="宋体" w:hAnsi="宋体" w:eastAsia="宋体" w:cs="宋体"/>
                <w:color w:val="auto"/>
                <w:sz w:val="24"/>
                <w:highlight w:val="none"/>
              </w:rPr>
              <w:t xml:space="preserve">《供应商资格声明函》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格式见《投标文件格式》</w:t>
            </w:r>
            <w:r>
              <w:rPr>
                <w:rFonts w:hint="eastAsia" w:ascii="宋体" w:hAnsi="宋体" w:eastAsia="宋体" w:cs="宋体"/>
                <w:color w:val="auto"/>
                <w:sz w:val="24"/>
                <w:highlight w:val="none"/>
                <w:lang w:val="en-US" w:eastAsia="zh-CN"/>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（4）有依法缴纳税收和社会保障资金的良好记录；须</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近期</w:t>
            </w:r>
            <w:r>
              <w:rPr>
                <w:rFonts w:hint="eastAsia" w:ascii="宋体" w:hAnsi="宋体" w:eastAsia="宋体" w:cs="宋体"/>
                <w:color w:val="auto"/>
                <w:sz w:val="24"/>
                <w:highlight w:val="none"/>
              </w:rPr>
              <w:t xml:space="preserve">依法缴纳税收</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社会保障资金的</w:t>
            </w:r>
            <w:r>
              <w:rPr>
                <w:rFonts w:hint="eastAsia" w:ascii="宋体" w:hAnsi="宋体" w:eastAsia="宋体" w:cs="宋体"/>
                <w:color w:val="auto"/>
                <w:sz w:val="24"/>
                <w:highlight w:val="none"/>
                <w:lang w:val="en-US" w:eastAsia="zh-CN"/>
              </w:rPr>
              <w:t xml:space="preserve">相关</w:t>
            </w:r>
            <w:r>
              <w:rPr>
                <w:rFonts w:hint="eastAsia" w:ascii="宋体" w:hAnsi="宋体" w:eastAsia="宋体" w:cs="宋体"/>
                <w:color w:val="auto"/>
                <w:sz w:val="24"/>
                <w:highlight w:val="none"/>
              </w:rPr>
              <w:t xml:space="preserve">材料，</w:t>
            </w:r>
            <w:r>
              <w:rPr>
                <w:rFonts w:hint="eastAsia" w:ascii="宋体" w:hAnsi="宋体" w:eastAsia="宋体" w:cs="宋体"/>
                <w:color w:val="auto"/>
                <w:sz w:val="24"/>
                <w:highlight w:val="none"/>
                <w:lang w:val="en-US" w:eastAsia="zh-CN"/>
              </w:rPr>
              <w:t xml:space="preserve">相关材料应是：</w:t>
            </w:r>
            <w:r>
              <w:rPr>
                <w:rFonts w:hint="eastAsia" w:ascii="宋体" w:hAnsi="宋体" w:eastAsia="宋体" w:cs="宋体"/>
                <w:color w:val="auto"/>
                <w:sz w:val="24"/>
                <w:highlight w:val="none"/>
              </w:rPr>
              <w:t xml:space="preserve">相关主管部门</w:t>
            </w:r>
            <w:r>
              <w:rPr>
                <w:rFonts w:hint="eastAsia" w:ascii="宋体" w:hAnsi="宋体" w:eastAsia="宋体" w:cs="宋体"/>
                <w:color w:val="auto"/>
                <w:sz w:val="24"/>
                <w:highlight w:val="none"/>
                <w:lang w:val="en-US" w:eastAsia="zh-CN"/>
              </w:rPr>
              <w:t xml:space="preserve">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或银行代扣证明</w:t>
            </w:r>
            <w:r>
              <w:rPr>
                <w:rFonts w:hint="eastAsia" w:ascii="宋体" w:hAnsi="宋体" w:eastAsia="宋体" w:cs="宋体"/>
                <w:color w:val="auto"/>
                <w:sz w:val="24"/>
                <w:highlight w:val="none"/>
                <w:lang w:val="en-US" w:eastAsia="zh-CN"/>
              </w:rPr>
              <w:t xml:space="preserve">或缴纳流水明细</w:t>
            </w:r>
            <w:r>
              <w:rPr>
                <w:rFonts w:hint="eastAsia" w:ascii="宋体" w:hAnsi="宋体" w:eastAsia="宋体" w:cs="宋体"/>
                <w:color w:val="auto"/>
                <w:sz w:val="24"/>
                <w:highlight w:val="none"/>
              </w:rPr>
              <w:t xml:space="preserve">。投标人依法享受缓缴、免缴税收、社会保障资金的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相关主管部门出具的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在经营活动中没有重大违</w:t>
            </w:r>
            <w:r>
              <w:rPr>
                <w:rFonts w:hint="eastAsia" w:ascii="宋体" w:hAnsi="宋体" w:eastAsia="宋体" w:cs="宋体"/>
                <w:color w:val="auto"/>
                <w:sz w:val="24"/>
                <w:highlight w:val="none"/>
                <w:lang w:val="en-US" w:eastAsia="zh-CN"/>
              </w:rPr>
              <w:t xml:space="preserve">法记录；须提供</w:t>
            </w:r>
            <w:r>
              <w:rPr>
                <w:rFonts w:hint="eastAsia" w:ascii="宋体" w:hAnsi="宋体" w:eastAsia="宋体" w:cs="宋体"/>
                <w:color w:val="auto"/>
                <w:sz w:val="24"/>
                <w:highlight w:val="none"/>
              </w:rPr>
              <w:t xml:space="preserve">《供应商资格声明函》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格式见《投标文件格式》</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提供相应证明材料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投标截止时间以后、资格审查阶段采购</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rPr>
              <w:t xml:space="preserve">的实际查询</w:t>
            </w:r>
            <w:r>
              <w:rPr>
                <w:rFonts w:hint="eastAsia" w:ascii="宋体" w:hAnsi="宋体" w:eastAsia="宋体" w:cs="宋体"/>
                <w:color w:val="auto"/>
                <w:sz w:val="24"/>
                <w:highlight w:val="none"/>
                <w:lang w:val="en-US" w:eastAsia="zh-CN"/>
              </w:rPr>
              <w:t xml:space="preserve">结果</w:t>
            </w:r>
            <w:r>
              <w:rPr>
                <w:rFonts w:hint="eastAsia" w:ascii="宋体" w:hAnsi="宋体" w:eastAsia="宋体" w:cs="宋体"/>
                <w:color w:val="auto"/>
                <w:sz w:val="24"/>
                <w:highlight w:val="none"/>
              </w:rPr>
              <w:t xml:space="preserve">；</w:t>
            </w:r>
            <w:r/>
          </w:p>
          <w:p>
            <w:pPr>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查询结果网页打印页作为查询记录和证据，与其他</w:t>
            </w:r>
            <w:r>
              <w:rPr>
                <w:rFonts w:hint="eastAsia" w:ascii="宋体" w:hAnsi="宋体" w:eastAsia="宋体" w:cs="宋体"/>
                <w:color w:val="auto"/>
                <w:sz w:val="24"/>
                <w:highlight w:val="none"/>
                <w:lang w:val="en-US" w:eastAsia="zh-CN"/>
              </w:rPr>
              <w:t xml:space="preserve">资料</w:t>
            </w:r>
            <w:r>
              <w:rPr>
                <w:rFonts w:hint="eastAsia" w:ascii="宋体" w:hAnsi="宋体" w:eastAsia="宋体" w:cs="宋体"/>
                <w:color w:val="auto"/>
                <w:sz w:val="24"/>
                <w:highlight w:val="none"/>
              </w:rPr>
              <w:t xml:space="preserve">一并保存；</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无须供应商提供，由采购</w:t>
            </w:r>
            <w:r>
              <w:rPr>
                <w:rFonts w:hint="eastAsia" w:ascii="宋体" w:hAnsi="宋体" w:cs="宋体"/>
                <w:b/>
                <w:bCs/>
                <w:color w:val="auto"/>
                <w:sz w:val="24"/>
                <w:highlight w:val="none"/>
                <w:lang w:val="en-US" w:eastAsia="zh-CN"/>
              </w:rPr>
              <w:t xml:space="preserve">人</w:t>
            </w:r>
            <w:r>
              <w:rPr>
                <w:rFonts w:hint="eastAsia" w:ascii="宋体" w:hAnsi="宋体" w:eastAsia="宋体" w:cs="宋体"/>
                <w:b/>
                <w:bCs/>
                <w:color w:val="auto"/>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须提供</w:t>
            </w:r>
            <w:r>
              <w:rPr>
                <w:rFonts w:hint="eastAsia" w:ascii="宋体" w:hAnsi="宋体" w:eastAsia="宋体" w:cs="宋体"/>
                <w:color w:val="auto"/>
                <w:sz w:val="24"/>
                <w:highlight w:val="none"/>
              </w:rPr>
              <w:t xml:space="preserve">《供应商资格声明函》</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w:t>
            </w:r>
            <w:r>
              <w:rPr>
                <w:rFonts w:hint="eastAsia" w:ascii="宋体" w:hAnsi="宋体" w:eastAsia="宋体" w:cs="宋体"/>
                <w:color w:val="auto"/>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color w:val="auto"/>
                <w:sz w:val="24"/>
                <w:highlight w:val="none"/>
              </w:rPr>
              <w:t xml:space="preserve">是否属于政府购买服务</w:t>
            </w:r>
            <w:r/>
          </w:p>
        </w:tc>
        <w:tc>
          <w:tcPr>
            <w:tcW w:w="4508"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color w:val="auto"/>
                <w:sz w:val="24"/>
                <w:highlight w:val="none"/>
              </w:rPr>
              <w:t xml:space="preserve">是，公益一类事业单位、使用事业编制且由财政拨款保障的群团组织，不得作为承接主体</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其他特定资格要求</w:t>
            </w:r>
            <w:r/>
          </w:p>
        </w:tc>
        <w:tc>
          <w:tcPr>
            <w:tcW w:w="4508"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无</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widowControl/>
        <w:rPr>
          <w:color w:val="auto"/>
          <w:sz w:val="24"/>
          <w:highlight w:val="none"/>
        </w:rPr>
      </w:pPr>
      <w:r>
        <w:rPr>
          <w:color w:val="auto"/>
          <w:sz w:val="24"/>
          <w:highlight w:val="none"/>
        </w:rPr>
        <w:br w:type="page" w:clear="all"/>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7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836"/>
        <w:gridCol w:w="6819"/>
      </w:tblGrid>
      <w:tr>
        <w:trPr>
          <w:jc w:val="center"/>
          <w:trHeight w:val="300"/>
        </w:trPr>
        <w:tc>
          <w:tcPr>
            <w:tcW w:w="86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836"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819"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响应函、法定代表人资格证明书和政府采购供应商信用承诺书</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按磋商文件要求提供响应函、法定代表人资格证明书和政府采购供应商信用承诺书；</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未将一个采购包中的内容拆开响应；</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6819" w:type="dxa"/>
            <w:vAlign w:val="center"/>
            <w:textDirection w:val="lrTb"/>
            <w:noWrap w:val="false"/>
          </w:tcPr>
          <w:p>
            <w:pPr>
              <w:jc w:val="left"/>
              <w:widowControl/>
              <w:rPr>
                <w:color w:val="auto"/>
                <w:sz w:val="24"/>
                <w:highlight w:val="none"/>
              </w:rPr>
            </w:pPr>
            <w:r>
              <w:rPr>
                <w:b/>
                <w:bCs/>
                <w:color w:val="auto"/>
                <w:sz w:val="24"/>
                <w:highlight w:val="none"/>
              </w:rPr>
              <w:t xml:space="preserve">响应报价未超过磋商文件中规定的项目预算金额、最高限价</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响应文件未出现可选择性或可调整的报价（磋商文件另有规定的除外）；</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响应文件中承诺的响应有效期满足磋商文件中载明的响应有效期的；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7</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实质性格式</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标记为“实质性格式”的文件均按磋商文件要求提供；</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836" w:type="dxa"/>
            <w:vAlign w:val="center"/>
            <w:textDirection w:val="lrTb"/>
            <w:noWrap w:val="false"/>
          </w:tcPr>
          <w:p>
            <w:pPr>
              <w:jc w:val="left"/>
              <w:widowControl/>
              <w:rPr>
                <w:b/>
                <w:color w:val="auto"/>
                <w:sz w:val="24"/>
                <w:highlight w:val="none"/>
              </w:rPr>
            </w:pPr>
            <w:r>
              <w:rPr>
                <w:b/>
                <w:color w:val="auto"/>
                <w:sz w:val="24"/>
                <w:highlight w:val="none"/>
              </w:rPr>
              <w:t xml:space="preserve">★号条款响应</w:t>
            </w:r>
            <w:r/>
          </w:p>
        </w:tc>
        <w:tc>
          <w:tcPr>
            <w:tcW w:w="6819" w:type="dxa"/>
            <w:vAlign w:val="center"/>
            <w:textDirection w:val="lrTb"/>
            <w:noWrap w:val="false"/>
          </w:tcPr>
          <w:p>
            <w:pPr>
              <w:jc w:val="left"/>
              <w:widowControl/>
              <w:rPr>
                <w:b/>
                <w:color w:val="auto"/>
                <w:sz w:val="24"/>
                <w:highlight w:val="none"/>
              </w:rPr>
            </w:pPr>
            <w:r>
              <w:rPr>
                <w:b/>
                <w:color w:val="auto"/>
                <w:sz w:val="24"/>
                <w:highlight w:val="none"/>
              </w:rPr>
              <w:t xml:space="preserve">响应文件满足磋商文件第四章《采购需求》中★号条款要求的；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836" w:type="dxa"/>
            <w:vAlign w:val="center"/>
            <w:textDirection w:val="lrTb"/>
            <w:noWrap w:val="false"/>
          </w:tcPr>
          <w:p>
            <w:pPr>
              <w:jc w:val="left"/>
              <w:widowControl/>
              <w:rPr>
                <w:b/>
                <w:color w:val="auto"/>
                <w:sz w:val="24"/>
                <w:highlight w:val="none"/>
              </w:rPr>
            </w:pPr>
            <w:r>
              <w:rPr>
                <w:b/>
                <w:color w:val="auto"/>
                <w:sz w:val="24"/>
                <w:highlight w:val="none"/>
              </w:rPr>
              <w:t xml:space="preserve">报价合理性</w:t>
            </w:r>
            <w:r/>
          </w:p>
        </w:tc>
        <w:tc>
          <w:tcPr>
            <w:tcW w:w="6819" w:type="dxa"/>
            <w:vAlign w:val="center"/>
            <w:textDirection w:val="lrTb"/>
            <w:noWrap w:val="false"/>
          </w:tcPr>
          <w:p>
            <w:pPr>
              <w:jc w:val="left"/>
              <w:widowControl/>
              <w:rPr>
                <w:b/>
                <w:color w:val="auto"/>
                <w:sz w:val="24"/>
                <w:highlight w:val="none"/>
              </w:rPr>
            </w:pPr>
            <w:r>
              <w:rPr>
                <w:b/>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不涉及报价修正，或响应文件报价出现前后不一致时，供应商对修正后的报价予以确认；（如有）</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响应文件未含有采购人不能接受的附加条件的；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836" w:type="dxa"/>
            <w:vAlign w:val="center"/>
            <w:textDirection w:val="lrTb"/>
            <w:noWrap w:val="false"/>
          </w:tcPr>
          <w:p>
            <w:pPr>
              <w:jc w:val="left"/>
              <w:widowControl/>
              <w:rPr>
                <w:b/>
                <w:bCs/>
                <w:color w:val="auto"/>
                <w:sz w:val="24"/>
                <w:highlight w:val="none"/>
              </w:rPr>
            </w:pPr>
            <w:r>
              <w:rPr>
                <w:b/>
                <w:color w:val="auto"/>
                <w:sz w:val="24"/>
                <w:highlight w:val="none"/>
              </w:rPr>
              <w:t xml:space="preserve">最终报价</w:t>
            </w:r>
            <w:r/>
          </w:p>
        </w:tc>
        <w:tc>
          <w:tcPr>
            <w:tcW w:w="6819" w:type="dxa"/>
            <w:vAlign w:val="center"/>
            <w:textDirection w:val="lrTb"/>
            <w:noWrap w:val="false"/>
          </w:tcPr>
          <w:p>
            <w:pPr>
              <w:jc w:val="left"/>
              <w:spacing w:line="360" w:lineRule="auto"/>
              <w:rPr>
                <w:b/>
                <w:bCs/>
                <w:color w:val="auto"/>
                <w:sz w:val="24"/>
                <w:highlight w:val="none"/>
              </w:rPr>
            </w:pPr>
            <w:r>
              <w:rPr>
                <w:b/>
                <w:bCs/>
                <w:color w:val="auto"/>
                <w:sz w:val="24"/>
                <w:highlight w:val="none"/>
              </w:rPr>
              <w:t xml:space="preserve">供应商最终报价未高于首次报价的；</w:t>
            </w:r>
            <w:r/>
          </w:p>
        </w:tc>
      </w:tr>
      <w:tr>
        <w:trPr>
          <w:jc w:val="center"/>
          <w:trHeight w:val="685"/>
        </w:trPr>
        <w:tc>
          <w:tcPr>
            <w:tcW w:w="86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15</w:t>
            </w:r>
            <w:r/>
          </w:p>
        </w:tc>
        <w:tc>
          <w:tcPr>
            <w:tcW w:w="1836" w:type="dxa"/>
            <w:vAlign w:val="center"/>
            <w:textDirection w:val="lrTb"/>
            <w:noWrap w:val="false"/>
          </w:tcPr>
          <w:p>
            <w:pPr>
              <w:jc w:val="left"/>
              <w:widowControl/>
              <w:rPr>
                <w:rFonts w:hint="eastAsia" w:eastAsia="宋体"/>
                <w:b/>
                <w:color w:val="auto"/>
                <w:sz w:val="24"/>
                <w:highlight w:val="none"/>
                <w:lang w:val="en-US" w:eastAsia="zh-CN"/>
              </w:rPr>
            </w:pPr>
            <w:r>
              <w:rPr>
                <w:rFonts w:hint="eastAsia"/>
                <w:b/>
                <w:color w:val="auto"/>
                <w:sz w:val="24"/>
                <w:highlight w:val="none"/>
                <w:lang w:val="en-US" w:eastAsia="zh-CN"/>
              </w:rPr>
              <w:t xml:space="preserve">分项报价表</w:t>
            </w:r>
            <w:r/>
          </w:p>
        </w:tc>
        <w:tc>
          <w:tcPr>
            <w:tcW w:w="6819" w:type="dxa"/>
            <w:vAlign w:val="center"/>
            <w:textDirection w:val="lrTb"/>
            <w:noWrap w:val="false"/>
          </w:tcPr>
          <w:p>
            <w:pPr>
              <w:jc w:val="left"/>
              <w:spacing w:line="360" w:lineRule="auto"/>
              <w:rPr>
                <w:rFonts w:hint="default" w:eastAsia="宋体"/>
                <w:b/>
                <w:bCs/>
                <w:color w:val="auto"/>
                <w:sz w:val="24"/>
                <w:highlight w:val="none"/>
                <w:lang w:val="en-US" w:eastAsia="zh-CN"/>
              </w:rPr>
            </w:pPr>
            <w:r>
              <w:rPr>
                <w:rFonts w:hint="eastAsia"/>
                <w:b/>
                <w:bCs/>
                <w:color w:val="auto"/>
                <w:sz w:val="24"/>
                <w:highlight w:val="none"/>
                <w:lang w:val="en-US" w:eastAsia="zh-CN"/>
              </w:rPr>
              <w:t xml:space="preserve">提供了分项报价表的；</w:t>
            </w:r>
            <w:r/>
          </w:p>
        </w:tc>
      </w:tr>
      <w:tr>
        <w:trPr>
          <w:jc w:val="center"/>
          <w:trHeight w:val="685"/>
        </w:trPr>
        <w:tc>
          <w:tcPr>
            <w:tcW w:w="860" w:type="dxa"/>
            <w:vAlign w:val="center"/>
            <w:textDirection w:val="lrTb"/>
            <w:noWrap w:val="false"/>
          </w:tcPr>
          <w:p>
            <w:pPr>
              <w:jc w:val="center"/>
              <w:widowControl/>
              <w:rPr>
                <w:rFonts w:hint="default"/>
                <w:color w:val="auto"/>
                <w:sz w:val="24"/>
                <w:highlight w:val="none"/>
                <w:lang w:val="en-US" w:eastAsia="zh-CN"/>
              </w:rPr>
            </w:pPr>
            <w:r>
              <w:rPr>
                <w:rFonts w:hint="eastAsia"/>
                <w:color w:val="auto"/>
                <w:sz w:val="24"/>
                <w:highlight w:val="none"/>
                <w:lang w:val="en-US" w:eastAsia="zh-CN"/>
              </w:rPr>
              <w:t xml:space="preserve">16</w:t>
            </w:r>
            <w:r/>
          </w:p>
        </w:tc>
        <w:tc>
          <w:tcPr>
            <w:shd w:val="clear" w:color="auto" w:fill="auto"/>
            <w:tcW w:w="1836"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rFonts w:hint="eastAsia"/>
                <w:b/>
                <w:bCs/>
                <w:color w:val="auto"/>
                <w:sz w:val="24"/>
                <w:highlight w:val="none"/>
                <w:lang w:val="en-US" w:eastAsia="zh-CN"/>
              </w:rPr>
              <w:t xml:space="preserve">不可竞争费</w:t>
            </w:r>
            <w:r/>
          </w:p>
        </w:tc>
        <w:tc>
          <w:tcPr>
            <w:shd w:val="clear" w:color="auto" w:fill="auto"/>
            <w:tcW w:w="6819"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rFonts w:hint="eastAsia"/>
                <w:b/>
                <w:bCs/>
                <w:color w:val="auto"/>
                <w:sz w:val="24"/>
                <w:highlight w:val="none"/>
                <w:lang w:val="en-US" w:eastAsia="zh-CN"/>
              </w:rPr>
              <w:t xml:space="preserve">未擅自改动不可竞争费的；</w:t>
            </w:r>
            <w:r/>
          </w:p>
        </w:tc>
      </w:tr>
      <w:tr>
        <w:trPr>
          <w:jc w:val="center"/>
          <w:trHeight w:val="685"/>
        </w:trPr>
        <w:tc>
          <w:tcPr>
            <w:tcW w:w="86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17</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供应商、响应文件不存在不符合法律、法规和磋商文件规定的其他无效情形。</w:t>
            </w:r>
            <w:r/>
          </w:p>
        </w:tc>
      </w:tr>
    </w:tbl>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b/>
          <w:bCs/>
          <w:color w:val="auto"/>
          <w:sz w:val="24"/>
          <w:highlight w:val="none"/>
        </w:rPr>
      </w:pPr>
      <w:r>
        <w:rPr>
          <w:b/>
          <w:bCs/>
          <w:color w:val="auto"/>
          <w:sz w:val="24"/>
          <w:highlight w:val="none"/>
        </w:rPr>
        <w:t xml:space="preserve">磋商</w:t>
      </w:r>
      <w:r>
        <w:rPr>
          <w:rFonts w:hint="eastAsia" w:ascii="宋体" w:hAnsi="宋体" w:eastAsia="宋体" w:cs="宋体"/>
          <w:b/>
          <w:bCs/>
          <w:color w:val="auto"/>
          <w:sz w:val="24"/>
          <w:highlight w:val="none"/>
          <w:lang w:eastAsia="zh-CN"/>
        </w:rPr>
        <w:t xml:space="preserve">小组</w:t>
      </w:r>
      <w:r>
        <w:rPr>
          <w:rFonts w:hint="eastAsia" w:ascii="宋体" w:hAnsi="宋体" w:eastAsia="宋体" w:cs="宋体"/>
          <w:b/>
          <w:bCs/>
          <w:color w:val="auto"/>
          <w:sz w:val="24"/>
          <w:highlight w:val="none"/>
        </w:rPr>
        <w:t xml:space="preserve">启动异常低价</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审查的情形和具体要求，包括：</w:t>
      </w:r>
      <w:r/>
    </w:p>
    <w:p>
      <w:pPr>
        <w:numPr>
          <w:ilvl w:val="0"/>
          <w:numId w:val="0"/>
        </w:numPr>
        <w:ind w:left="357" w:firstLine="723"/>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2.2.1</w:t>
      </w:r>
      <w:r>
        <w:rPr>
          <w:rFonts w:hint="eastAsia" w:ascii="宋体" w:hAnsi="宋体" w:eastAsia="宋体" w:cs="宋体"/>
          <w:b/>
          <w:bCs/>
          <w:color w:val="auto"/>
          <w:sz w:val="24"/>
          <w:highlight w:val="none"/>
        </w:rPr>
        <w:t xml:space="preserve">评审过程中出现下列情形之一的，</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应当启动异常低价</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审查程序：</w:t>
      </w:r>
      <w:r/>
    </w:p>
    <w:p>
      <w:pPr>
        <w:numPr>
          <w:ilvl w:val="0"/>
          <w:numId w:val="0"/>
        </w:numPr>
        <w:ind w:left="357" w:firstLine="723"/>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）投标报价</w:t>
      </w:r>
      <w:r>
        <w:rPr>
          <w:rFonts w:hint="eastAsia" w:ascii="宋体" w:hAnsi="宋体" w:eastAsia="宋体" w:cs="宋体"/>
          <w:b/>
          <w:bCs/>
          <w:color w:val="auto"/>
          <w:sz w:val="24"/>
          <w:highlight w:val="none"/>
        </w:rPr>
        <w:t xml:space="preserve">低于采购项目预算50% 的，即</w:t>
      </w:r>
      <w:r>
        <w:rPr>
          <w:rFonts w:hint="eastAsia" w:ascii="宋体" w:hAnsi="宋体" w:eastAsia="宋体" w:cs="宋体"/>
          <w:b/>
          <w:bCs/>
          <w:color w:val="auto"/>
          <w:sz w:val="24"/>
          <w:highlight w:val="none"/>
          <w:lang w:eastAsia="zh-CN"/>
        </w:rPr>
        <w:t xml:space="preserve">投标报价</w:t>
      </w:r>
      <w:r>
        <w:rPr>
          <w:rFonts w:hint="eastAsia" w:ascii="宋体" w:hAnsi="宋体" w:eastAsia="宋体" w:cs="宋体"/>
          <w:b/>
          <w:bCs/>
          <w:color w:val="auto"/>
          <w:sz w:val="24"/>
          <w:highlight w:val="none"/>
        </w:rPr>
        <w:t xml:space="preserve">&lt;采购项目预算×50% </w:t>
      </w:r>
      <w:r/>
    </w:p>
    <w:p>
      <w:pPr>
        <w:numPr>
          <w:ilvl w:val="0"/>
          <w:numId w:val="0"/>
        </w:numPr>
        <w:ind w:left="357" w:firstLine="723"/>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）投标报价</w:t>
      </w:r>
      <w:r>
        <w:rPr>
          <w:rFonts w:hint="eastAsia" w:ascii="宋体" w:hAnsi="宋体" w:eastAsia="宋体" w:cs="宋体"/>
          <w:b/>
          <w:bCs/>
          <w:color w:val="auto"/>
          <w:sz w:val="24"/>
          <w:highlight w:val="none"/>
        </w:rPr>
        <w:t xml:space="preserve">低于采购项目最高限价 45% 的，即</w:t>
      </w:r>
      <w:r>
        <w:rPr>
          <w:rFonts w:hint="eastAsia" w:ascii="宋体" w:hAnsi="宋体" w:eastAsia="宋体" w:cs="宋体"/>
          <w:b/>
          <w:bCs/>
          <w:color w:val="auto"/>
          <w:sz w:val="24"/>
          <w:highlight w:val="none"/>
          <w:lang w:eastAsia="zh-CN"/>
        </w:rPr>
        <w:t xml:space="preserve">投标报价</w:t>
      </w:r>
      <w:r>
        <w:rPr>
          <w:rFonts w:hint="eastAsia" w:ascii="宋体" w:hAnsi="宋体" w:eastAsia="宋体" w:cs="宋体"/>
          <w:b/>
          <w:bCs/>
          <w:color w:val="auto"/>
          <w:sz w:val="24"/>
          <w:highlight w:val="none"/>
        </w:rPr>
        <w:t xml:space="preserve">&lt;采购项目最高限价×45% </w:t>
      </w:r>
      <w:r/>
    </w:p>
    <w:p>
      <w:pPr>
        <w:numPr>
          <w:ilvl w:val="0"/>
          <w:numId w:val="0"/>
        </w:numPr>
        <w:ind w:left="357" w:firstLine="723"/>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认定的供应商报价过低、有可能影响</w:t>
      </w:r>
      <w:r>
        <w:rPr>
          <w:rFonts w:hint="eastAsia" w:ascii="宋体" w:hAnsi="宋体" w:eastAsia="宋体" w:cs="宋体"/>
          <w:b/>
          <w:bCs/>
          <w:color w:val="auto"/>
          <w:sz w:val="24"/>
          <w:highlight w:val="none"/>
          <w:lang w:val="en-US" w:eastAsia="zh-CN"/>
        </w:rPr>
        <w:t xml:space="preserve">服务</w:t>
      </w:r>
      <w:r>
        <w:rPr>
          <w:rFonts w:hint="eastAsia" w:ascii="宋体" w:hAnsi="宋体" w:eastAsia="宋体" w:cs="宋体"/>
          <w:b/>
          <w:bCs/>
          <w:color w:val="auto"/>
          <w:sz w:val="24"/>
          <w:highlight w:val="none"/>
        </w:rPr>
        <w:t xml:space="preserve">质量或者不能诚信履约的其他情形。</w:t>
      </w:r>
      <w:r/>
    </w:p>
    <w:p>
      <w:pPr>
        <w:numPr>
          <w:ilvl w:val="0"/>
          <w:numId w:val="0"/>
        </w:numPr>
        <w:ind w:left="357" w:firstLine="720"/>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2.2.2</w:t>
      </w:r>
      <w:r>
        <w:rPr>
          <w:rFonts w:hint="eastAsia" w:ascii="宋体" w:hAnsi="宋体" w:eastAsia="宋体" w:cs="宋体"/>
          <w:b/>
          <w:bCs/>
          <w:color w:val="auto"/>
          <w:sz w:val="24"/>
          <w:highlight w:val="none"/>
        </w:rPr>
        <w:t xml:space="preserve">启动异常低价</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审查后，</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价格作出解释，由</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结合</w:t>
      </w:r>
      <w:r>
        <w:rPr>
          <w:rFonts w:hint="eastAsia" w:ascii="宋体" w:hAnsi="宋体" w:eastAsia="宋体" w:cs="宋体"/>
          <w:b/>
          <w:bCs/>
          <w:color w:val="auto"/>
          <w:sz w:val="24"/>
          <w:highlight w:val="none"/>
          <w:lang w:val="en-US" w:eastAsia="zh-CN"/>
        </w:rPr>
        <w:t xml:space="preserve">同类项目、</w:t>
      </w:r>
      <w:r>
        <w:rPr>
          <w:rFonts w:hint="eastAsia" w:ascii="宋体" w:hAnsi="宋体" w:eastAsia="宋体" w:cs="宋体"/>
          <w:b/>
          <w:bCs/>
          <w:color w:val="auto"/>
          <w:sz w:val="24"/>
          <w:highlight w:val="none"/>
        </w:rPr>
        <w:t xml:space="preserve">该行业当地薪资水平等情况，依据专业经验对供应商报价合理性进行判断。</w:t>
      </w: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不提供书面说明、证明材料，或者提供的书面说明、证明材料不能证明其报价合理性的，</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应当将其作为无效响应处理。审查相关情况应当在评审报告中进行记录。</w:t>
      </w:r>
      <w:r/>
    </w:p>
    <w:p>
      <w:pPr>
        <w:numPr>
          <w:ilvl w:val="0"/>
          <w:numId w:val="0"/>
        </w:numPr>
        <w:ind w:left="357" w:firstLine="723"/>
        <w:spacing w:line="360" w:lineRule="auto"/>
        <w:tabs>
          <w:tab w:val="left" w:pos="1080" w:leader="none"/>
          <w:tab w:val="left" w:pos="1872" w:leader="none"/>
        </w:tabs>
        <w:rPr>
          <w:b/>
          <w:bCs/>
          <w:color w:val="auto"/>
          <w:sz w:val="24"/>
          <w:highlight w:val="none"/>
        </w:rPr>
      </w:pPr>
      <w:r>
        <w:rPr>
          <w:rFonts w:hint="eastAsia" w:ascii="宋体" w:hAnsi="宋体" w:eastAsia="宋体" w:cs="宋体"/>
          <w:b/>
          <w:bCs/>
          <w:color w:val="auto"/>
          <w:sz w:val="24"/>
          <w:highlight w:val="none"/>
          <w:lang w:val="en-US" w:eastAsia="zh-CN"/>
        </w:rPr>
        <w:t xml:space="preserve">2.2.3</w:t>
      </w:r>
      <w:r>
        <w:rPr>
          <w:rFonts w:hint="eastAsia" w:ascii="宋体" w:hAnsi="宋体" w:eastAsia="宋体" w:cs="宋体"/>
          <w:b/>
          <w:bCs/>
          <w:color w:val="auto"/>
          <w:sz w:val="24"/>
          <w:highlight w:val="none"/>
        </w:rPr>
        <w:t xml:space="preserve">出现</w:t>
      </w:r>
      <w:r>
        <w:rPr>
          <w:rFonts w:hint="eastAsia" w:ascii="宋体" w:hAnsi="宋体" w:eastAsia="宋体" w:cs="宋体"/>
          <w:b/>
          <w:bCs/>
          <w:color w:val="auto"/>
          <w:sz w:val="24"/>
          <w:highlight w:val="none"/>
          <w:lang w:eastAsia="zh-CN"/>
        </w:rPr>
        <w:t xml:space="preserve">磋商文件</w:t>
      </w:r>
      <w:r>
        <w:rPr>
          <w:rFonts w:hint="eastAsia" w:ascii="宋体" w:hAnsi="宋体" w:eastAsia="宋体" w:cs="宋体"/>
          <w:b/>
          <w:bCs/>
          <w:color w:val="auto"/>
          <w:sz w:val="24"/>
          <w:highlight w:val="none"/>
        </w:rPr>
        <w:t xml:space="preserve">规定的异常低价情形，</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的法律责任</w:t>
      </w:r>
      <w:r>
        <w:rPr>
          <w:rFonts w:hint="eastAsia"/>
          <w:b/>
          <w:bCs/>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对磋商文件作出的实质性变动是磋商文件的有效组成部分，磋商小组应当及时通过</w:t>
      </w:r>
      <w:r>
        <w:rPr>
          <w:rFonts w:hint="eastAsia"/>
          <w:color w:val="auto"/>
          <w:sz w:val="24"/>
          <w:highlight w:val="none"/>
          <w:lang w:eastAsia="zh-CN"/>
        </w:rPr>
        <w:t xml:space="preserve">政府采购管理交易系统（苏采云）</w:t>
      </w:r>
      <w:r>
        <w:rPr>
          <w:color w:val="auto"/>
          <w:sz w:val="24"/>
          <w:highlight w:val="none"/>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p>
    <w:p>
      <w:pPr>
        <w:ind w:left="1080"/>
        <w:spacing w:line="360" w:lineRule="auto"/>
        <w:tabs>
          <w:tab w:val="left" w:pos="1980" w:leader="none"/>
        </w:tabs>
        <w:rPr>
          <w:color w:val="auto"/>
          <w:sz w:val="24"/>
          <w:highlight w:val="none"/>
        </w:rPr>
      </w:pPr>
      <w:r>
        <w:rPr>
          <w:color w:val="auto"/>
          <w:sz w:val="24"/>
          <w:highlight w:val="none"/>
        </w:rPr>
        <w:t xml:space="preserve">评审过程中，磋商小组会将通过</w:t>
      </w:r>
      <w:r>
        <w:rPr>
          <w:rFonts w:hint="eastAsia"/>
          <w:color w:val="auto"/>
          <w:sz w:val="24"/>
          <w:highlight w:val="none"/>
          <w:lang w:eastAsia="zh-CN"/>
        </w:rPr>
        <w:t xml:space="preserve">政府采购管理交易系统（苏采云）</w:t>
      </w:r>
      <w:r>
        <w:rPr>
          <w:color w:val="auto"/>
          <w:sz w:val="24"/>
          <w:highlight w:val="none"/>
        </w:rPr>
        <w:t xml:space="preserve">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872" w:leader="none"/>
        </w:tabs>
        <w:rPr>
          <w:b/>
          <w:color w:val="auto"/>
          <w:sz w:val="24"/>
          <w:highlight w:val="none"/>
        </w:rPr>
      </w:pPr>
      <w:r>
        <w:rPr>
          <w:b/>
          <w:color w:val="auto"/>
          <w:sz w:val="24"/>
          <w:highlight w:val="none"/>
        </w:rPr>
        <w:t xml:space="preserve">响应文件的投标报价作为首次报价，在磋商结束后，磋商小组将要求所有实质性响应的供应商在规定时间内通过“苏采云”系统提交最终报价。最终报价不得高于首次报价。</w:t>
      </w:r>
      <w:r>
        <w:rPr>
          <w:rFonts w:hint="eastAsia"/>
          <w:b/>
          <w:color w:val="auto"/>
          <w:sz w:val="24"/>
          <w:highlight w:val="none"/>
          <w:lang w:val="en-US" w:eastAsia="zh-CN"/>
        </w:rPr>
        <w:t xml:space="preserve">成交供应商应当在成交后提交最终报价的分项报价表。</w:t>
      </w:r>
      <w:r/>
    </w:p>
    <w:p>
      <w:pPr>
        <w:numPr>
          <w:ilvl w:val="1"/>
          <w:numId w:val="11"/>
        </w:numPr>
        <w:ind w:left="1077" w:hanging="720"/>
        <w:spacing w:line="360" w:lineRule="auto"/>
        <w:tabs>
          <w:tab w:val="left" w:pos="1080" w:leader="none"/>
          <w:tab w:val="left" w:pos="1872" w:leader="none"/>
        </w:tabs>
        <w:rPr>
          <w:b/>
          <w:color w:val="auto"/>
          <w:sz w:val="24"/>
          <w:highlight w:val="none"/>
        </w:rPr>
      </w:pPr>
      <w:r>
        <w:rPr>
          <w:b/>
          <w:color w:val="auto"/>
          <w:sz w:val="24"/>
          <w:highlight w:val="none"/>
        </w:rPr>
        <w:t xml:space="preserve">成交人的最终报价即为成交报价。</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竞争性磋商文件对于报价修正是否另有规定：无，按下述3.2.2-3.2.5项规定修正。</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default" w:ascii="Times New Roman" w:hAnsi="Times New Roman" w:eastAsia="宋体" w:cs="Times New Roman"/>
          <w:b/>
          <w:bCs/>
          <w:color w:val="auto"/>
          <w:sz w:val="24"/>
          <w:highlight w:val="none"/>
        </w:rPr>
      </w:pPr>
      <w:r>
        <w:rPr>
          <w:b w:val="0"/>
          <w:bCs w:val="0"/>
          <w:color w:val="auto"/>
          <w:sz w:val="24"/>
          <w:highlight w:val="none"/>
        </w:rPr>
        <w:t xml:space="preserve">同时</w:t>
      </w:r>
      <w:r>
        <w:rPr>
          <w:color w:val="auto"/>
          <w:sz w:val="24"/>
          <w:highlight w:val="none"/>
        </w:rPr>
        <w:t xml:space="preserve">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落实政府采购政策的价格调整：</w:t>
      </w:r>
      <w:r>
        <w:rPr>
          <w:rFonts w:hint="eastAsia" w:cs="Times New Roman"/>
          <w:b/>
          <w:bCs/>
          <w:color w:val="auto"/>
          <w:sz w:val="24"/>
          <w:highlight w:val="none"/>
          <w:lang w:val="en-US" w:eastAsia="zh-CN"/>
        </w:rPr>
        <w:t xml:space="preserve">/</w:t>
      </w:r>
      <w:r>
        <w:rPr>
          <w:rFonts w:hint="default" w:ascii="Times New Roman" w:hAnsi="Times New Roman" w:eastAsia="宋体" w:cs="Times New Roman"/>
          <w:b/>
          <w:bCs/>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如供应商的最终报价超过竞争性磋商文件中规定的项目预算金额或者项目最高限价的；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其他：</w:t>
      </w:r>
      <w:r>
        <w:rPr>
          <w:b/>
          <w:color w:val="auto"/>
          <w:sz w:val="24"/>
          <w:highlight w:val="none"/>
        </w:rPr>
        <w:t xml:space="preserve">最终报价高于首次报价</w:t>
      </w:r>
      <w:r>
        <w:rPr>
          <w:color w:val="auto"/>
          <w:sz w:val="24"/>
          <w:highlight w:val="none"/>
        </w:rPr>
        <w:t xml:space="preserve">。</w:t>
      </w:r>
      <w:bookmarkEnd w:id="635"/>
      <w:r/>
      <w:bookmarkEnd w:id="636"/>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确定</w:t>
      </w:r>
      <w:bookmarkStart w:id="638" w:name="_Toc164229241"/>
      <w:r/>
      <w:bookmarkStart w:id="639" w:name="_Ref467307010"/>
      <w:r/>
      <w:bookmarkStart w:id="640" w:name="_Toc305158814"/>
      <w:r/>
      <w:bookmarkStart w:id="641" w:name="_Toc265228384"/>
      <w:r/>
      <w:bookmarkStart w:id="642" w:name="_Toc150480784"/>
      <w:r/>
      <w:bookmarkStart w:id="643" w:name="_Toc264969236"/>
      <w:r/>
      <w:bookmarkStart w:id="644" w:name="_Toc149720839"/>
      <w:r/>
      <w:bookmarkStart w:id="645" w:name="_Toc226309790"/>
      <w:r/>
      <w:bookmarkStart w:id="646" w:name="_Toc151193934"/>
      <w:r/>
      <w:bookmarkStart w:id="647" w:name="_Toc127151546"/>
      <w:r/>
      <w:bookmarkStart w:id="648" w:name="_Toc127151747"/>
      <w:r/>
      <w:bookmarkStart w:id="649" w:name="_Toc164608815"/>
      <w:r/>
      <w:bookmarkStart w:id="650" w:name="_Toc151190173"/>
      <w:r/>
      <w:bookmarkStart w:id="651" w:name="_Toc127161460"/>
      <w:r/>
      <w:bookmarkStart w:id="652" w:name="_Toc164229387"/>
      <w:r/>
      <w:bookmarkStart w:id="653" w:name="_Toc151193860"/>
      <w:r/>
      <w:bookmarkStart w:id="654" w:name="_Toc150774751"/>
      <w:r/>
      <w:bookmarkStart w:id="655" w:name="_Toc226965736"/>
      <w:r/>
      <w:bookmarkStart w:id="656" w:name="_Toc150509297"/>
      <w:r/>
      <w:bookmarkStart w:id="657" w:name="_Toc150774646"/>
      <w:r/>
      <w:bookmarkStart w:id="658" w:name="_Toc151193716"/>
      <w:r/>
      <w:bookmarkStart w:id="659" w:name="_Toc142311048"/>
      <w:r/>
      <w:bookmarkStart w:id="660" w:name="_Toc151193644"/>
      <w:r/>
      <w:bookmarkStart w:id="661" w:name="_Toc164608660"/>
      <w:r/>
      <w:bookmarkStart w:id="662" w:name="_Toc226337242"/>
      <w:r/>
      <w:bookmarkStart w:id="663" w:name="_Toc520356170"/>
      <w:r/>
      <w:bookmarkStart w:id="664" w:name="_Toc226965819"/>
      <w:r/>
      <w:bookmarkStart w:id="665" w:name="_Toc305158888"/>
      <w:r/>
      <w:bookmarkStart w:id="666" w:name="_Toc151193788"/>
      <w:r/>
      <w:bookmarkStart w:id="667" w:name="_Toc164351640"/>
      <w:r/>
      <w:bookmarkStart w:id="668" w:name="_Toc195842911"/>
      <w:r>
        <w:rPr>
          <w:color w:val="auto"/>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如得分相同的，按投标报价由低到高顺序推荐成交供应商；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color w:val="auto"/>
          <w:sz w:val="24"/>
          <w:highlight w:val="none"/>
        </w:rPr>
        <w:t xml:space="preserve">3名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numPr>
          <w:ilvl w:val="0"/>
          <w:numId w:val="12"/>
        </w:numPr>
        <w:jc w:val="center"/>
        <w:spacing w:line="360" w:lineRule="auto"/>
        <w:widowControl/>
        <w:tabs>
          <w:tab w:val="left" w:pos="1080" w:leader="none"/>
          <w:tab w:val="left" w:pos="1589" w:leader="none"/>
          <w:tab w:val="left" w:pos="1872" w:leader="none"/>
        </w:tabs>
        <w:rPr>
          <w:color w:val="auto"/>
          <w:highlight w:val="none"/>
        </w:rPr>
      </w:pPr>
      <w:r>
        <w:rPr>
          <w:b/>
          <w:color w:val="auto"/>
          <w:sz w:val="24"/>
          <w:highlight w:val="none"/>
        </w:rPr>
        <w:t xml:space="preserve">评审标准</w:t>
      </w:r>
      <w:r/>
    </w:p>
    <w:p>
      <w:pPr>
        <w:ind w:firstLine="480"/>
        <w:spacing w:line="360" w:lineRule="auto"/>
        <w:tabs>
          <w:tab w:val="left" w:pos="360" w:leader="none"/>
          <w:tab w:val="left" w:pos="900" w:leader="none"/>
          <w:tab w:val="left" w:pos="1080" w:leader="none"/>
          <w:tab w:val="left" w:pos="2014" w:leader="none"/>
        </w:tabs>
        <w:rPr>
          <w:color w:val="auto"/>
          <w:sz w:val="22"/>
          <w:szCs w:val="22"/>
          <w:highlight w:val="none"/>
        </w:rPr>
      </w:pPr>
      <w:r>
        <w:rPr>
          <w:color w:val="auto"/>
          <w:sz w:val="24"/>
          <w:highlight w:val="none"/>
        </w:rPr>
        <w:t xml:space="preserve">本项目采用综合评分法，由磋商小组对所有有效响应文件进行详细的评分，采用百分制计分方法。评标时，磋商小组各成员遵循公平、公正、择优原则，独立对每个有效供应商的响应文件进行评价、打分，各个供应商的最终得分为汇总计算所有磋商小组成员所评定分值的平均值（保留2位小数）。磋商小组按评审后最终综合得分由高到低顺序排列名次，并推荐出成交供应商。如得分相同的，按投标报价由低到高顺序推荐成交供应商；评审得分且最终报价相同的，按照技术指标优劣顺序推荐。评标细则如下：</w:t>
      </w:r>
      <w:r/>
    </w:p>
    <w:tbl>
      <w:tblPr>
        <w:tblStyle w:val="75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4450"/>
        <w:gridCol w:w="2200"/>
      </w:tblGrid>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4450"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2200" w:type="dxa"/>
            <w:vAlign w:val="center"/>
            <w:textDirection w:val="lrTb"/>
            <w:noWrap w:val="false"/>
          </w:tcPr>
          <w:p>
            <w:pPr>
              <w:pStyle w:val="1218"/>
              <w:ind w:left="0"/>
              <w:jc w:val="center"/>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631"/>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满足磋商文件要求且最终报价最低的报价为评标基准价，其价格分为满分。其他供应商的价格分统一按照下列公式计算：</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价格分得分＝（评标基准价/最终报价）×分值。</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此处最终报价指经过报价修正，及因落实政府采购政策进行价格调整后的最终报价，详见第三章《评标方法和评标标准》3。</w:t>
            </w:r>
            <w:r/>
          </w:p>
        </w:tc>
      </w:tr>
      <w:tr>
        <w:trPr>
          <w:trHeight w:val="600"/>
        </w:trPr>
        <w:tc>
          <w:tcPr>
            <w:tcW w:w="756"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4"/>
            <w:tcW w:w="8872"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主观分（</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分）</w:t>
            </w:r>
            <w:r/>
          </w:p>
        </w:tc>
      </w:tr>
      <w:tr>
        <w:trPr>
          <w:trHeight w:val="9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管理制度</w:t>
            </w:r>
            <w:r/>
          </w:p>
        </w:tc>
        <w:tc>
          <w:tcPr>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结合项目需求和实际情况，提供管理制度，包括：</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请销假制度</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②服务质量</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制度及职业健康安全管理</w:t>
            </w:r>
            <w:r>
              <w:rPr>
                <w:rFonts w:hint="eastAsia" w:ascii="宋体" w:hAnsi="宋体" w:eastAsia="宋体" w:cs="宋体"/>
                <w:color w:val="auto"/>
                <w:sz w:val="24"/>
                <w:szCs w:val="24"/>
                <w:highlight w:val="none"/>
              </w:rPr>
              <w:t xml:space="preserve">制度</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上下班考勤</w:t>
            </w:r>
            <w:r>
              <w:rPr>
                <w:rFonts w:hint="eastAsia" w:ascii="宋体" w:hAnsi="宋体" w:eastAsia="宋体" w:cs="宋体"/>
                <w:color w:val="auto"/>
                <w:sz w:val="24"/>
                <w:szCs w:val="24"/>
                <w:highlight w:val="none"/>
                <w:lang w:val="en-US" w:eastAsia="zh-CN"/>
              </w:rPr>
              <w:t xml:space="preserve">及着装管理</w:t>
            </w:r>
            <w:r>
              <w:rPr>
                <w:rFonts w:hint="eastAsia" w:ascii="宋体" w:hAnsi="宋体" w:eastAsia="宋体" w:cs="宋体"/>
                <w:color w:val="auto"/>
                <w:sz w:val="24"/>
                <w:szCs w:val="24"/>
                <w:highlight w:val="none"/>
              </w:rPr>
              <w:t xml:space="preserve">制度</w:t>
            </w:r>
            <w:r/>
          </w:p>
          <w:p>
            <w:pPr>
              <w:ind w:left="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人员罚惩制度</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全年养护计划</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结合项目需求和实际情况，提供全年养护计划，包括：</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养护月历</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四季养护实施计划与标准</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不同天气下的养护计划分析</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总体养护组织布置及规划</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病虫害防治方案</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结合项目需求和实际情况，提供病虫害防治方案，包括：</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食叶性害虫防治方案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蛀干性害虫防治方案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刺吸式害虫防治方案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常见病害防治方案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植物修剪方案</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结合项目需求和实际情况，提供植物修剪方案，包括：</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大型乔木修剪方案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绿篱色块修剪方案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草坪修剪方案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常见花灌木修剪方案</w:t>
            </w:r>
            <w:r/>
          </w:p>
          <w:p>
            <w:pPr>
              <w:pStyle w:val="783"/>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极端天气和突发事件预案</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结合项目需求和实际情况，提供极端天气和突发事件预案，包括：</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抗旱保苗预案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防台风应急预案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防寒防冻应急预案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排水防涝应急预案</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聚众上访事件应急预案</w:t>
            </w:r>
            <w:r/>
          </w:p>
          <w:p>
            <w:pPr>
              <w:pStyle w:val="783"/>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ind w:lef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保障方案</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结合项目需求和实际情况，提供安全文明保障方案，包括：</w:t>
            </w:r>
            <w:r/>
          </w:p>
          <w:p>
            <w:pPr>
              <w:numPr>
                <w:ilvl w:val="0"/>
                <w:numId w:val="0"/>
              </w:num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安全文明保障措施</w:t>
            </w:r>
            <w:r/>
          </w:p>
          <w:p>
            <w:pPr>
              <w:numPr>
                <w:ilvl w:val="0"/>
                <w:numId w:val="0"/>
              </w:num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作业安全管理措施</w:t>
            </w:r>
            <w:r/>
          </w:p>
          <w:p>
            <w:pPr>
              <w:numPr>
                <w:ilvl w:val="0"/>
                <w:numId w:val="0"/>
              </w:num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安全</w:t>
            </w:r>
            <w:r>
              <w:rPr>
                <w:rFonts w:hint="eastAsia" w:ascii="宋体" w:hAnsi="宋体" w:eastAsia="宋体" w:cs="宋体"/>
                <w:color w:val="auto"/>
                <w:sz w:val="24"/>
                <w:szCs w:val="24"/>
                <w:highlight w:val="none"/>
                <w:lang w:val="en-US" w:eastAsia="zh-CN"/>
              </w:rPr>
              <w:t xml:space="preserve">人员配备及</w:t>
            </w:r>
            <w:r>
              <w:rPr>
                <w:rFonts w:hint="eastAsia" w:ascii="宋体" w:hAnsi="宋体" w:eastAsia="宋体" w:cs="宋体"/>
                <w:color w:val="auto"/>
                <w:sz w:val="24"/>
                <w:szCs w:val="24"/>
                <w:highlight w:val="none"/>
              </w:rPr>
              <w:t xml:space="preserve">设施设备</w:t>
            </w:r>
            <w:r/>
          </w:p>
          <w:p>
            <w:pPr>
              <w:numPr>
                <w:ilvl w:val="0"/>
                <w:numId w:val="0"/>
              </w:num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安全检查记录</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安全教育培训计划</w:t>
            </w:r>
            <w:r/>
          </w:p>
          <w:p>
            <w:pPr>
              <w:pStyle w:val="783"/>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报价构成方案</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结合项目需求和自身情况，提供报价构成方案，包括：</w:t>
            </w:r>
            <w:r/>
          </w:p>
          <w:p>
            <w:pPr>
              <w:numPr>
                <w:ilvl w:val="0"/>
                <w:numId w:val="0"/>
              </w:numPr>
              <w:ind w:left="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报价构成内容</w:t>
            </w:r>
            <w:r/>
          </w:p>
          <w:p>
            <w:pPr>
              <w:numPr>
                <w:ilvl w:val="0"/>
                <w:numId w:val="0"/>
              </w:num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报价组成依据</w:t>
            </w:r>
            <w:r/>
          </w:p>
          <w:p>
            <w:pPr>
              <w:pStyle w:val="783"/>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4"/>
        </w:trPr>
        <w:tc>
          <w:tcPr>
            <w:tcW w:w="756"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4"/>
            <w:tcW w:w="8872"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客观分（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r>
      <w:tr>
        <w:trPr>
          <w:trHeight w:val="90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p>
        </w:tc>
        <w:tc>
          <w:tcPr>
            <w:tcW w:w="1335"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tc>
        <w:tc>
          <w:tcPr>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供应商自2022年1月1日以来承担过绿化项目（仅限施工或养护）业绩的，有1个得2分，本项最高得6分。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须提供合同及合同价款部分发票，时间以合同签订时间为准，不提供不得分。</w:t>
            </w:r>
            <w:r/>
          </w:p>
        </w:tc>
      </w:tr>
      <w:tr>
        <w:trPr>
          <w:trHeight w:val="90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tcW w:w="1335"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供应商承担的绿化项目（仅限施工或养护）自2022年1月1日以来获得过政府职能部门颁发的荣誉或奖项的有一个得2分，本项最高得6分。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须提供</w:t>
            </w:r>
            <w:r>
              <w:rPr>
                <w:rFonts w:hint="eastAsia" w:ascii="宋体" w:hAnsi="宋体" w:cs="宋体"/>
                <w:b/>
                <w:bCs/>
                <w:color w:val="auto"/>
                <w:sz w:val="24"/>
                <w:szCs w:val="24"/>
                <w:highlight w:val="none"/>
                <w:lang w:val="en-US" w:eastAsia="zh-CN"/>
              </w:rPr>
              <w:t xml:space="preserve">获奖</w:t>
            </w:r>
            <w:r>
              <w:rPr>
                <w:rFonts w:hint="eastAsia" w:ascii="宋体" w:hAnsi="宋体" w:eastAsia="宋体" w:cs="宋体"/>
                <w:b/>
                <w:bCs/>
                <w:color w:val="auto"/>
                <w:sz w:val="24"/>
                <w:szCs w:val="24"/>
                <w:highlight w:val="none"/>
              </w:rPr>
              <w:t xml:space="preserve">证明材料，不提供不得分。时间以</w:t>
            </w:r>
            <w:r>
              <w:rPr>
                <w:rFonts w:hint="eastAsia" w:ascii="宋体" w:hAnsi="宋体" w:cs="宋体"/>
                <w:b/>
                <w:bCs/>
                <w:color w:val="auto"/>
                <w:sz w:val="24"/>
                <w:szCs w:val="24"/>
                <w:highlight w:val="none"/>
                <w:lang w:val="en-US" w:eastAsia="zh-CN"/>
              </w:rPr>
              <w:t xml:space="preserve">获奖证明材料</w:t>
            </w:r>
            <w:r>
              <w:rPr>
                <w:rFonts w:hint="eastAsia" w:ascii="宋体" w:hAnsi="宋体" w:eastAsia="宋体" w:cs="宋体"/>
                <w:b/>
                <w:bCs/>
                <w:color w:val="auto"/>
                <w:sz w:val="24"/>
                <w:szCs w:val="24"/>
                <w:highlight w:val="none"/>
              </w:rPr>
              <w:t xml:space="preserve">上所载时间为准。</w:t>
            </w:r>
            <w:r/>
          </w:p>
        </w:tc>
      </w:tr>
      <w:tr>
        <w:trPr>
          <w:trHeight w:val="90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项目组成员1（项目负责人）</w:t>
            </w:r>
            <w:r/>
          </w:p>
        </w:tc>
        <w:tc>
          <w:tcPr>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拟派项目负责人（一名），</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园林绿化</w:t>
            </w:r>
            <w:r>
              <w:rPr>
                <w:rFonts w:hint="eastAsia" w:ascii="宋体" w:hAnsi="宋体" w:eastAsia="宋体" w:cs="宋体"/>
                <w:color w:val="auto"/>
                <w:sz w:val="24"/>
                <w:szCs w:val="24"/>
                <w:highlight w:val="none"/>
              </w:rPr>
              <w:t xml:space="preserve">高级及以上职称的得3分；具有</w:t>
            </w:r>
            <w:r>
              <w:rPr>
                <w:rFonts w:hint="eastAsia" w:ascii="宋体" w:hAnsi="宋体" w:cs="宋体"/>
                <w:color w:val="auto"/>
                <w:sz w:val="24"/>
                <w:szCs w:val="24"/>
                <w:highlight w:val="none"/>
                <w:lang w:val="en-US" w:eastAsia="zh-CN"/>
              </w:rPr>
              <w:t xml:space="preserve">园林绿化</w:t>
            </w:r>
            <w:r>
              <w:rPr>
                <w:rFonts w:hint="eastAsia" w:ascii="宋体" w:hAnsi="宋体" w:eastAsia="宋体" w:cs="宋体"/>
                <w:color w:val="auto"/>
                <w:sz w:val="24"/>
                <w:szCs w:val="24"/>
                <w:highlight w:val="none"/>
              </w:rPr>
              <w:t xml:space="preserve">中级职称的得2分；具有</w:t>
            </w:r>
            <w:r>
              <w:rPr>
                <w:rFonts w:hint="eastAsia" w:ascii="宋体" w:hAnsi="宋体" w:cs="宋体"/>
                <w:color w:val="auto"/>
                <w:sz w:val="24"/>
                <w:szCs w:val="24"/>
                <w:highlight w:val="none"/>
                <w:lang w:val="en-US" w:eastAsia="zh-CN"/>
              </w:rPr>
              <w:t xml:space="preserve">园林绿化</w:t>
            </w:r>
            <w:r>
              <w:rPr>
                <w:rFonts w:hint="eastAsia" w:ascii="宋体" w:hAnsi="宋体" w:eastAsia="宋体" w:cs="宋体"/>
                <w:color w:val="auto"/>
                <w:sz w:val="24"/>
                <w:szCs w:val="24"/>
                <w:highlight w:val="none"/>
              </w:rPr>
              <w:t xml:space="preserve">初级职称的得 1 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最高得3分。</w:t>
            </w:r>
            <w:r/>
          </w:p>
        </w:tc>
        <w:tc>
          <w:tcPr>
            <w:tcW w:w="2200" w:type="dxa"/>
            <w:vAlign w:val="center"/>
            <w:vMerge w:val="restart"/>
            <w:textDirection w:val="lrTb"/>
            <w:noWrap w:val="false"/>
          </w:tcPr>
          <w:p>
            <w:pPr>
              <w:ind w:left="0"/>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须提供相应证书和</w:t>
            </w:r>
            <w:r>
              <w:rPr>
                <w:rFonts w:hint="eastAsia" w:ascii="宋体" w:hAnsi="宋体" w:eastAsia="宋体" w:cs="宋体"/>
                <w:b/>
                <w:color w:val="auto"/>
                <w:sz w:val="24"/>
                <w:szCs w:val="24"/>
                <w:highlight w:val="none"/>
              </w:rPr>
              <w:t xml:space="preserve">供应商近期为其缴纳社保</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证明（如为退休人员，须提供退休证明及返聘合同），不提供不得分。</w:t>
            </w:r>
            <w:r/>
          </w:p>
        </w:tc>
      </w:tr>
      <w:tr>
        <w:trPr>
          <w:trHeight w:val="127"/>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项目组成员2</w:t>
            </w:r>
            <w:r/>
          </w:p>
        </w:tc>
        <w:tc>
          <w:tcPr>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除项目负责人外，</w:t>
            </w:r>
            <w:r>
              <w:rPr>
                <w:rFonts w:hint="eastAsia" w:ascii="宋体" w:hAnsi="宋体" w:cs="宋体"/>
                <w:color w:val="auto"/>
                <w:sz w:val="24"/>
                <w:highlight w:val="none"/>
                <w:lang w:val="en-US" w:eastAsia="zh-CN"/>
              </w:rPr>
              <w:t xml:space="preserve">技术人员中</w:t>
            </w:r>
            <w:r>
              <w:rPr>
                <w:rFonts w:hint="eastAsia" w:ascii="宋体" w:hAnsi="宋体" w:eastAsia="宋体" w:cs="宋体"/>
                <w:b w:val="0"/>
                <w:color w:val="auto"/>
                <w:sz w:val="24"/>
                <w:szCs w:val="24"/>
                <w:highlight w:val="none"/>
                <w:lang w:val="en-US" w:eastAsia="zh-CN"/>
              </w:rPr>
              <w:t xml:space="preserve">具有绿化工或所学专业为风景园林类的有一个得2分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 4 分。</w:t>
            </w:r>
            <w:r/>
          </w:p>
        </w:tc>
        <w:tc>
          <w:tcPr>
            <w:tcW w:w="2200" w:type="dxa"/>
            <w:vAlign w:val="center"/>
            <w:vMerge w:val="continue"/>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机具配备1</w:t>
            </w:r>
            <w:r/>
          </w:p>
        </w:tc>
        <w:tc>
          <w:tcPr>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1、①供应商自有草坪车1辆、绿篱机5台、草坪机5台、割灌机5台、药水机5台、水泵5台、吹风机3台、油锯3台、打孔机1台，得5分（同时具备本数或以上数量）；</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②供应商自有绿篱机4台、草坪机4台、割灌机4台、药水机3台、水泵3台、吹风机2台，得3分（同时具备本数或以上数量）；</w:t>
            </w:r>
            <w:r/>
          </w:p>
          <w:p>
            <w:pPr>
              <w:ind w:left="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③供应商自有绿篱机3台、草坪机3台、割灌机3台、药水机2台、水泵3台，得1分（同时具备本数或以上数量）。</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须提供机具购买发票、机具照片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不提供不得分。</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如机具名称有差异但属同类机具的视同符合对应评分指标，但供应商应在</w:t>
            </w:r>
            <w:r>
              <w:rPr>
                <w:rFonts w:hint="eastAsia" w:ascii="宋体" w:hAnsi="宋体" w:cs="宋体"/>
                <w:b/>
                <w:bCs/>
                <w:color w:val="auto"/>
                <w:sz w:val="24"/>
                <w:szCs w:val="24"/>
                <w:highlight w:val="none"/>
                <w:lang w:val="en-US" w:eastAsia="zh-CN"/>
              </w:rPr>
              <w:t xml:space="preserve">响应文件</w:t>
            </w:r>
            <w:r>
              <w:rPr>
                <w:rFonts w:hint="eastAsia" w:ascii="宋体" w:hAnsi="宋体" w:eastAsia="宋体" w:cs="宋体"/>
                <w:b/>
                <w:bCs/>
                <w:color w:val="auto"/>
                <w:sz w:val="24"/>
                <w:szCs w:val="24"/>
                <w:highlight w:val="none"/>
              </w:rPr>
              <w:t xml:space="preserve">中提供该同类机具的主要功能阐述以利于</w:t>
            </w:r>
            <w:r>
              <w:rPr>
                <w:rFonts w:hint="eastAsia" w:ascii="宋体" w:hAnsi="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rPr>
              <w:t xml:space="preserve">判断，否则对应评分不予认可。</w:t>
            </w:r>
            <w:r/>
          </w:p>
        </w:tc>
      </w:tr>
      <w:tr>
        <w:trPr>
          <w:trHeight w:val="78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bookmarkStart w:id="742" w:name="_GoBack"/>
            <w:r>
              <w:rPr>
                <w:rFonts w:hint="eastAsia" w:ascii="宋体" w:hAnsi="宋体" w:eastAsia="宋体" w:cs="宋体"/>
                <w:color w:val="auto"/>
                <w:sz w:val="24"/>
                <w:szCs w:val="24"/>
                <w:highlight w:val="none"/>
                <w:lang w:val="en-US" w:eastAsia="zh-CN"/>
              </w:rPr>
              <w:t xml:space="preserve">3.6</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机具配备2</w:t>
            </w:r>
            <w:r/>
          </w:p>
        </w:tc>
        <w:tc>
          <w:tcPr>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1、投标供应商自有洒水车1辆(具备本数或以上数量)</w:t>
            </w:r>
            <w:r>
              <w:rPr>
                <w:rFonts w:hint="eastAsia" w:ascii="宋体" w:hAnsi="宋体" w:cs="宋体"/>
                <w:color w:val="auto"/>
                <w:sz w:val="24"/>
                <w:szCs w:val="24"/>
                <w:highlight w:val="none"/>
                <w:lang w:val="en-US" w:eastAsia="zh-CN"/>
              </w:rPr>
              <w:t xml:space="preserve">的得2分，最高得2分</w:t>
            </w:r>
            <w:r>
              <w:rPr>
                <w:rFonts w:hint="eastAsia" w:ascii="宋体" w:hAnsi="宋体" w:eastAsia="宋体" w:cs="宋体"/>
                <w:color w:val="auto"/>
                <w:sz w:val="24"/>
                <w:szCs w:val="24"/>
                <w:highlight w:val="none"/>
              </w:rPr>
              <w:t xml:space="preserve">。</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2、投标供应商自有运输车1辆(具备本数或以上数量)的得2分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最高得2分</w:t>
            </w:r>
            <w:r>
              <w:rPr>
                <w:rFonts w:hint="eastAsia" w:ascii="宋体" w:hAnsi="宋体" w:eastAsia="宋体" w:cs="宋体"/>
                <w:color w:val="auto"/>
                <w:sz w:val="24"/>
                <w:szCs w:val="24"/>
                <w:highlight w:val="none"/>
              </w:rPr>
              <w:t xml:space="preserve">。</w:t>
            </w:r>
            <w:r/>
          </w:p>
          <w:p>
            <w:pPr>
              <w:ind w:left="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3、供应商自有登高车</w:t>
            </w:r>
            <w:r>
              <w:rPr>
                <w:rFonts w:hint="eastAsia" w:ascii="宋体" w:hAnsi="宋体" w:eastAsia="宋体" w:cs="宋体"/>
                <w:color w:val="auto"/>
                <w:sz w:val="24"/>
                <w:szCs w:val="24"/>
                <w:highlight w:val="none"/>
                <w:lang w:val="en-US" w:eastAsia="zh-CN"/>
              </w:rPr>
              <w:t xml:space="preserve">或移动式升降平台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16m)且承诺用于本项目每有1辆得1分，最高得2分。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须提供机具购买发票、</w:t>
            </w:r>
            <w:r>
              <w:rPr>
                <w:rFonts w:hint="eastAsia" w:ascii="宋体" w:hAnsi="宋体" w:cs="宋体"/>
                <w:b/>
                <w:bCs/>
                <w:color w:val="auto"/>
                <w:sz w:val="24"/>
                <w:szCs w:val="24"/>
                <w:highlight w:val="none"/>
                <w:lang w:val="en-US" w:eastAsia="zh-CN"/>
              </w:rPr>
              <w:t xml:space="preserve">机具</w:t>
            </w:r>
            <w:r>
              <w:rPr>
                <w:rFonts w:hint="eastAsia" w:ascii="宋体" w:hAnsi="宋体" w:eastAsia="宋体" w:cs="宋体"/>
                <w:b/>
                <w:bCs/>
                <w:color w:val="auto"/>
                <w:sz w:val="24"/>
                <w:szCs w:val="24"/>
                <w:highlight w:val="none"/>
              </w:rPr>
              <w:t xml:space="preserve">照片、车辆权属登记证、车辆行驶证、</w:t>
            </w:r>
            <w:r>
              <w:rPr>
                <w:rFonts w:hint="eastAsia" w:ascii="宋体" w:hAnsi="宋体" w:cs="宋体"/>
                <w:b/>
                <w:bCs/>
                <w:color w:val="auto"/>
                <w:sz w:val="24"/>
                <w:szCs w:val="24"/>
                <w:highlight w:val="none"/>
                <w:lang w:val="en-US" w:eastAsia="zh-CN"/>
              </w:rPr>
              <w:t xml:space="preserve">承诺函</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承诺上述机具均用于本项目，</w:t>
            </w:r>
            <w:r>
              <w:rPr>
                <w:rFonts w:hint="eastAsia" w:ascii="宋体" w:hAnsi="宋体" w:eastAsia="宋体" w:cs="宋体"/>
                <w:b/>
                <w:bCs/>
                <w:color w:val="auto"/>
                <w:sz w:val="24"/>
                <w:szCs w:val="24"/>
                <w:highlight w:val="none"/>
              </w:rPr>
              <w:t xml:space="preserve">格式自拟），不提供不得分。</w:t>
            </w:r>
            <w:r/>
          </w:p>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如机具名称有差异但属同类机具的视同符合对应评分指标，但供应商应在</w:t>
            </w:r>
            <w:r>
              <w:rPr>
                <w:rFonts w:hint="eastAsia" w:ascii="宋体" w:hAnsi="宋体" w:cs="宋体"/>
                <w:b/>
                <w:bCs/>
                <w:color w:val="auto"/>
                <w:sz w:val="24"/>
                <w:szCs w:val="24"/>
                <w:highlight w:val="none"/>
                <w:lang w:val="en-US" w:eastAsia="zh-CN"/>
              </w:rPr>
              <w:t xml:space="preserve">响应文件</w:t>
            </w:r>
            <w:r>
              <w:rPr>
                <w:rFonts w:hint="eastAsia" w:ascii="宋体" w:hAnsi="宋体" w:eastAsia="宋体" w:cs="宋体"/>
                <w:b/>
                <w:bCs/>
                <w:color w:val="auto"/>
                <w:sz w:val="24"/>
                <w:szCs w:val="24"/>
                <w:highlight w:val="none"/>
              </w:rPr>
              <w:t xml:space="preserve">中提供该同类机具的主要功能阐述以利于</w:t>
            </w:r>
            <w:r>
              <w:rPr>
                <w:rFonts w:hint="eastAsia" w:ascii="宋体" w:hAnsi="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rPr>
              <w:t xml:space="preserve">判断，否则对应评分不予认可。</w:t>
            </w:r>
            <w:bookmarkEnd w:id="742"/>
            <w:r/>
          </w:p>
        </w:tc>
      </w:tr>
      <w:tr>
        <w:trPr>
          <w:trHeight w:val="681"/>
        </w:trPr>
        <w:tc>
          <w:tcPr>
            <w:gridSpan w:val="2"/>
            <w:tcW w:w="2091"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887"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gridSpan w:val="2"/>
            <w:tcW w:w="66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23"/>
        <w:ind w:firstLine="472"/>
        <w:spacing w:before="0" w:beforeAutospacing="0" w:after="0" w:afterAutospacing="0" w:line="276" w:lineRule="auto"/>
        <w:rPr>
          <w:rFonts w:ascii="Times New Roman" w:hAnsi="Times New Roman" w:cs="Times New Roman"/>
          <w:b/>
          <w:bCs/>
          <w:color w:val="auto"/>
          <w:highlight w:val="none"/>
        </w:rPr>
      </w:pPr>
      <w:r>
        <w:rPr>
          <w:rFonts w:ascii="Times New Roman" w:hAnsi="Times New Roman" w:cs="Times New Roman"/>
          <w:b/>
          <w:bCs/>
          <w:color w:val="auto"/>
          <w:highlight w:val="none"/>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w:t>
      </w:r>
      <w:r>
        <w:rPr>
          <w:rFonts w:hint="eastAsia" w:ascii="Times New Roman" w:hAnsi="Times New Roman" w:cs="Times New Roman"/>
          <w:b/>
          <w:bCs/>
          <w:color w:val="auto"/>
          <w:highlight w:val="none"/>
          <w:lang w:val="en-US" w:eastAsia="zh-CN"/>
        </w:rPr>
        <w:t xml:space="preserve">成交</w:t>
      </w:r>
      <w:r>
        <w:rPr>
          <w:rFonts w:ascii="Times New Roman" w:hAnsi="Times New Roman" w:cs="Times New Roman"/>
          <w:b/>
          <w:bCs/>
          <w:color w:val="auto"/>
          <w:highlight w:val="none"/>
        </w:rPr>
        <w:t xml:space="preserve">资格，并保留进一步追究其法律责任的权利。</w:t>
      </w:r>
      <w:r/>
    </w:p>
    <w:p>
      <w:pPr>
        <w:jc w:val="center"/>
        <w:spacing w:line="360" w:lineRule="auto"/>
        <w:rPr>
          <w:b/>
          <w:color w:val="auto"/>
          <w:sz w:val="36"/>
          <w:szCs w:val="36"/>
          <w:highlight w:val="none"/>
        </w:rPr>
        <w:sectPr>
          <w:footnotePr/>
          <w:endnotePr/>
          <w:type w:val="nextPage"/>
          <w:pgSz w:w="11907" w:h="16840" w:orient="portrait"/>
          <w:pgMar w:top="1304" w:right="1304" w:bottom="1304" w:left="1304" w:header="851" w:footer="851" w:gutter="0"/>
          <w:cols w:num="1" w:sep="0" w:space="1701" w:equalWidth="1"/>
          <w:docGrid w:linePitch="360"/>
        </w:sectPr>
        <w:outlineLvl w:val="0"/>
      </w:pPr>
      <w:r/>
      <w:bookmarkStart w:id="669" w:name="_Toc104818928"/>
      <w:r/>
      <w:r/>
    </w:p>
    <w:p>
      <w:pPr>
        <w:jc w:val="center"/>
        <w:spacing w:line="360" w:lineRule="auto"/>
        <w:rPr>
          <w:b/>
          <w:color w:val="auto"/>
          <w:sz w:val="36"/>
          <w:szCs w:val="36"/>
          <w:highlight w:val="none"/>
        </w:rPr>
        <w:outlineLvl w:val="0"/>
      </w:pPr>
      <w:r>
        <w:rPr>
          <w:b/>
          <w:color w:val="auto"/>
          <w:sz w:val="36"/>
          <w:szCs w:val="36"/>
          <w:highlight w:val="none"/>
        </w:rPr>
        <w:t xml:space="preserve">第四章   采购需求</w:t>
      </w:r>
      <w:bookmarkEnd w:id="669"/>
      <w:r/>
      <w:r/>
    </w:p>
    <w:p>
      <w:pPr>
        <w:pStyle w:val="1069"/>
        <w:numPr>
          <w:ilvl w:val="0"/>
          <w:numId w:val="13"/>
        </w:numPr>
        <w:contextualSpacing/>
        <w:spacing w:line="360" w:lineRule="auto"/>
        <w:rPr>
          <w:rFonts w:ascii="Times New Roman" w:hAnsi="Times New Roman"/>
          <w:b/>
          <w:color w:val="auto"/>
          <w:sz w:val="24"/>
          <w:szCs w:val="24"/>
          <w:highlight w:val="none"/>
        </w:rPr>
      </w:pPr>
      <w:r/>
      <w:bookmarkStart w:id="670" w:name="_Toc104818929"/>
      <w:r>
        <w:rPr>
          <w:rFonts w:ascii="Times New Roman" w:hAnsi="Times New Roman"/>
          <w:b/>
          <w:color w:val="auto"/>
          <w:sz w:val="24"/>
          <w:szCs w:val="24"/>
          <w:highlight w:val="none"/>
        </w:rPr>
        <w:t xml:space="preserve">采购标的</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1、绿化管养范围：</w:t>
      </w:r>
      <w:r/>
    </w:p>
    <w:tbl>
      <w:tblPr>
        <w:tblStyle w:val="759"/>
        <w:tblpPr w:horzAnchor="page" w:tblpX="1388" w:vertAnchor="text" w:tblpY="115" w:leftFromText="180" w:topFromText="0" w:rightFromText="180" w:bottomFromText="0"/>
        <w:tblW w:w="94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2"/>
        <w:gridCol w:w="2703"/>
        <w:gridCol w:w="2860"/>
        <w:gridCol w:w="1455"/>
        <w:gridCol w:w="1365"/>
      </w:tblGrid>
      <w:tr>
        <w:trPr>
          <w:trHeight w:val="478"/>
        </w:trPr>
        <w:tc>
          <w:tcPr>
            <w:tcW w:w="1032"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标段</w:t>
            </w:r>
            <w:r/>
          </w:p>
        </w:tc>
        <w:tc>
          <w:tcPr>
            <w:tcW w:w="2703"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绿地名称</w:t>
            </w:r>
            <w:r/>
          </w:p>
        </w:tc>
        <w:tc>
          <w:tcPr>
            <w:tcW w:w="2860"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面积(m</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b/>
                <w:bCs/>
                <w:color w:val="auto"/>
                <w:sz w:val="24"/>
                <w:szCs w:val="24"/>
                <w:highlight w:val="none"/>
              </w:rPr>
              <w:t xml:space="preserve">)</w:t>
            </w:r>
            <w:r/>
          </w:p>
        </w:tc>
        <w:tc>
          <w:tcPr>
            <w:tcW w:w="1455" w:type="dxa"/>
            <w:vAlign w:val="center"/>
            <w:textDirection w:val="lrTb"/>
            <w:noWrap/>
          </w:tcPr>
          <w:p>
            <w:pPr>
              <w:jc w:val="center"/>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管养等级</w:t>
            </w:r>
            <w:r/>
          </w:p>
        </w:tc>
        <w:tc>
          <w:tcPr>
            <w:tcW w:w="1365"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478"/>
        </w:trPr>
        <w:tc>
          <w:tcPr>
            <w:tcW w:w="1032" w:type="dxa"/>
            <w:vAlign w:val="center"/>
            <w:vMerge w:val="restart"/>
            <w:textDirection w:val="lrTb"/>
            <w:noWrap/>
          </w:tcPr>
          <w:p>
            <w:pPr>
              <w:jc w:val="center"/>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天目湖度假区（迎宾大道以南）</w:t>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百花广场</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95780</w:t>
            </w:r>
            <w:r/>
          </w:p>
        </w:tc>
        <w:tc>
          <w:tcPr>
            <w:tcW w:w="1455" w:type="dxa"/>
            <w:vAlign w:val="center"/>
            <w:vMerge w:val="restart"/>
            <w:textDirection w:val="lrTb"/>
            <w:noWrap/>
          </w:tcPr>
          <w:p>
            <w:pPr>
              <w:jc w:val="center"/>
              <w:spacing w:line="2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一级</w:t>
            </w:r>
            <w:r/>
          </w:p>
          <w:p>
            <w:pPr>
              <w:jc w:val="center"/>
              <w:spacing w:line="2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145484</w:t>
            </w:r>
            <w:r/>
          </w:p>
        </w:tc>
        <w:tc>
          <w:tcPr>
            <w:tcW w:w="1365" w:type="dxa"/>
            <w:vAlign w:val="center"/>
            <w:vMerge w:val="restart"/>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迎宾大道</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43939</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牌楼北侧停车场</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5765</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聆湖路</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3500</w:t>
            </w:r>
            <w:r/>
          </w:p>
        </w:tc>
        <w:tc>
          <w:tcPr>
            <w:tcW w:w="1455" w:type="dxa"/>
            <w:vAlign w:val="center"/>
            <w:vMerge w:val="restart"/>
            <w:textDirection w:val="lrTb"/>
            <w:noWrap/>
          </w:tcPr>
          <w:p>
            <w:pPr>
              <w:jc w:val="center"/>
              <w:spacing w:line="2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二级</w:t>
            </w:r>
            <w:r/>
          </w:p>
          <w:p>
            <w:pPr>
              <w:jc w:val="center"/>
              <w:spacing w:line="2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146531.9</w:t>
            </w:r>
            <w:r/>
          </w:p>
        </w:tc>
        <w:tc>
          <w:tcPr>
            <w:tcW w:w="1365" w:type="dxa"/>
            <w:vAlign w:val="center"/>
            <w:vMerge w:val="restart"/>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南山郡</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1900</w:t>
            </w:r>
            <w:r/>
          </w:p>
        </w:tc>
        <w:tc>
          <w:tcPr>
            <w:tcW w:w="1455" w:type="dxa"/>
            <w:vAlign w:val="center"/>
            <w:vMerge w:val="continue"/>
            <w:textDirection w:val="lrTb"/>
            <w:noWrap/>
          </w:tcPr>
          <w:p>
            <w:pPr>
              <w:jc w:val="both"/>
              <w:spacing w:line="2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平桥集镇</w:t>
            </w:r>
            <w:r/>
          </w:p>
        </w:tc>
        <w:tc>
          <w:tcPr>
            <w:tcW w:w="2860" w:type="dxa"/>
            <w:vAlign w:val="center"/>
            <w:textDirection w:val="lrTb"/>
            <w:noWrap/>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13429.5</w:t>
            </w:r>
            <w:r/>
          </w:p>
        </w:tc>
        <w:tc>
          <w:tcPr>
            <w:tcW w:w="1455" w:type="dxa"/>
            <w:vAlign w:val="center"/>
            <w:vMerge w:val="continue"/>
            <w:textDirection w:val="lrTb"/>
            <w:noWrap/>
          </w:tcPr>
          <w:p>
            <w:pPr>
              <w:jc w:val="both"/>
              <w:spacing w:line="2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法院门口四周</w:t>
            </w:r>
            <w:r/>
          </w:p>
        </w:tc>
        <w:tc>
          <w:tcPr>
            <w:tcW w:w="2860"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767</w:t>
            </w:r>
            <w:r/>
          </w:p>
        </w:tc>
        <w:tc>
          <w:tcPr>
            <w:tcW w:w="1455" w:type="dxa"/>
            <w:vAlign w:val="center"/>
            <w:vMerge w:val="continue"/>
            <w:textDirection w:val="lrTb"/>
            <w:noWrap/>
          </w:tcPr>
          <w:p>
            <w:pPr>
              <w:jc w:val="both"/>
              <w:spacing w:line="2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田家山</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21947</w:t>
            </w:r>
            <w:r/>
          </w:p>
        </w:tc>
        <w:tc>
          <w:tcPr>
            <w:tcW w:w="1455" w:type="dxa"/>
            <w:vAlign w:val="center"/>
            <w:vMerge w:val="continue"/>
            <w:textDirection w:val="lrTb"/>
            <w:noWrap/>
          </w:tcPr>
          <w:p>
            <w:pPr>
              <w:jc w:val="both"/>
              <w:spacing w:line="2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田家山工业园</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6023.4</w:t>
            </w:r>
            <w:r/>
          </w:p>
        </w:tc>
        <w:tc>
          <w:tcPr>
            <w:tcW w:w="1455" w:type="dxa"/>
            <w:vAlign w:val="center"/>
            <w:vMerge w:val="continue"/>
            <w:textDirection w:val="lrTb"/>
            <w:noWrap/>
          </w:tcPr>
          <w:p>
            <w:pPr>
              <w:jc w:val="both"/>
              <w:spacing w:line="2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捕捞队</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779</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天目路</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18024</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毛竹林周边</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6479</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河西路</w:t>
            </w:r>
            <w:r>
              <w:rPr>
                <w:rFonts w:hint="eastAsia" w:ascii="宋体" w:hAnsi="宋体" w:eastAsia="宋体" w:cs="宋体"/>
                <w:color w:val="auto"/>
                <w:sz w:val="24"/>
                <w:szCs w:val="24"/>
                <w:highlight w:val="none"/>
                <w:lang w:eastAsia="zh-CN"/>
              </w:rPr>
              <w:t xml:space="preserve">及水杉林</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11554</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太公山周边</w:t>
            </w:r>
            <w:r/>
          </w:p>
        </w:tc>
        <w:tc>
          <w:tcPr>
            <w:tcW w:w="2860" w:type="dxa"/>
            <w:vAlign w:val="center"/>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1807</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环湖东路</w:t>
            </w:r>
            <w:r/>
          </w:p>
        </w:tc>
        <w:tc>
          <w:tcPr>
            <w:tcW w:w="2860" w:type="dxa"/>
            <w:vAlign w:val="center"/>
            <w:textDirection w:val="lrTb"/>
            <w:noWrap/>
          </w:tcPr>
          <w:p>
            <w:pPr>
              <w:jc w:val="center"/>
              <w:spacing w:line="2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12036</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东副坝</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27900</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主坝</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9841</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西副坝</w:t>
            </w:r>
            <w:r/>
          </w:p>
        </w:tc>
        <w:tc>
          <w:tcPr>
            <w:tcW w:w="2860" w:type="dxa"/>
            <w:vAlign w:val="center"/>
            <w:textDirection w:val="lrTb"/>
            <w:noWrap/>
          </w:tcPr>
          <w:p>
            <w:pPr>
              <w:jc w:val="center"/>
              <w:spacing w:line="2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10545</w:t>
            </w:r>
            <w:r/>
          </w:p>
        </w:tc>
        <w:tc>
          <w:tcPr>
            <w:tcW w:w="1455" w:type="dxa"/>
            <w:vAlign w:val="center"/>
            <w:vMerge w:val="continue"/>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vMerge w:val="continue"/>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3"/>
        </w:trPr>
        <w:tc>
          <w:tcPr>
            <w:tcW w:w="1032" w:type="dxa"/>
            <w:vAlign w:val="center"/>
            <w:vMerge w:val="continue"/>
            <w:textDirection w:val="lrTb"/>
            <w:noWrap/>
          </w:tcPr>
          <w:p>
            <w:pPr>
              <w:jc w:val="cente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3" w:type="dxa"/>
            <w:vAlign w:val="center"/>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合计</w:t>
            </w:r>
            <w:r/>
          </w:p>
        </w:tc>
        <w:tc>
          <w:tcPr>
            <w:tcW w:w="2860" w:type="dxa"/>
            <w:vAlign w:val="center"/>
            <w:textDirection w:val="lrTb"/>
            <w:noWrap/>
          </w:tcPr>
          <w:p>
            <w:pPr>
              <w:jc w:val="center"/>
              <w:spacing w:line="2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292015.9</w:t>
            </w:r>
            <w:r/>
          </w:p>
        </w:tc>
        <w:tc>
          <w:tcPr>
            <w:tcW w:w="1455" w:type="dxa"/>
            <w:vAlign w:val="center"/>
            <w:textDirection w:val="lrTb"/>
            <w:noWrap/>
          </w:tcPr>
          <w:p>
            <w:pPr>
              <w:jc w:val="center"/>
              <w:spacing w:line="2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65" w:type="dxa"/>
            <w:vAlign w:val="center"/>
            <w:textDirection w:val="lrTb"/>
            <w:noWrap/>
          </w:tcPr>
          <w:p>
            <w:pPr>
              <w:jc w:val="left"/>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注：上述作业量为暂估数量，若管养期内作业量减少，结算时由双方协商扣除相应款项。若管养期内作业量增加，则结算时不作调整。</w:t>
      </w:r>
      <w:r/>
    </w:p>
    <w:p>
      <w:pPr>
        <w:numPr>
          <w:ilvl w:val="0"/>
          <w:numId w:val="0"/>
        </w:numP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2、集镇草花养护</w:t>
      </w:r>
      <w:r>
        <w:rPr>
          <w:rFonts w:hint="eastAsia" w:ascii="宋体" w:hAnsi="宋体" w:cs="宋体"/>
          <w:color w:val="auto"/>
          <w:sz w:val="24"/>
          <w:szCs w:val="24"/>
          <w:highlight w:val="none"/>
          <w:lang w:val="en-US" w:eastAsia="zh-CN"/>
        </w:rPr>
        <w:t xml:space="preserve">、种植</w:t>
      </w:r>
      <w:r>
        <w:rPr>
          <w:rFonts w:hint="eastAsia" w:ascii="宋体" w:hAnsi="宋体" w:eastAsia="宋体" w:cs="宋体"/>
          <w:color w:val="auto"/>
          <w:sz w:val="24"/>
          <w:szCs w:val="24"/>
          <w:highlight w:val="none"/>
          <w:lang w:val="en-US" w:eastAsia="zh-CN"/>
        </w:rPr>
        <w:t xml:space="preserve">范围：</w:t>
      </w:r>
      <w:r/>
    </w:p>
    <w:tbl>
      <w:tblPr>
        <w:tblStyle w:val="759"/>
        <w:tblW w:w="94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14"/>
        <w:gridCol w:w="2700"/>
        <w:gridCol w:w="3878"/>
        <w:gridCol w:w="1872"/>
      </w:tblGrid>
      <w:tr>
        <w:trPr>
          <w:trHeight w:val="479"/>
        </w:trPr>
        <w:tc>
          <w:tcPr>
            <w:gridSpan w:val="4"/>
            <w:shd w:val="clear" w:color="auto" w:fill="auto"/>
            <w:tcBorders>
              <w:top w:val="single" w:color="000000" w:sz="4" w:space="0"/>
              <w:left w:val="single" w:color="000000" w:sz="4" w:space="0"/>
              <w:bottom w:val="single" w:color="000000" w:sz="4" w:space="0"/>
              <w:right w:val="single" w:color="000000" w:sz="4" w:space="0"/>
            </w:tcBorders>
            <w:tcW w:w="9464" w:type="dxa"/>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集镇草花</w:t>
            </w:r>
            <w:r>
              <w:rPr>
                <w:rFonts w:hint="eastAsia" w:ascii="宋体" w:hAnsi="宋体" w:cs="宋体"/>
                <w:b/>
                <w:bCs/>
                <w:i w:val="0"/>
                <w:iCs w:val="0"/>
                <w:color w:val="auto"/>
                <w:sz w:val="24"/>
                <w:szCs w:val="24"/>
                <w:highlight w:val="none"/>
                <w:u w:val="none"/>
                <w:lang w:val="en-US" w:eastAsia="zh-CN" w:bidi="ar"/>
              </w:rPr>
              <w:t xml:space="preserve">养护、种植</w:t>
            </w:r>
            <w:r>
              <w:rPr>
                <w:rFonts w:hint="eastAsia" w:ascii="宋体" w:hAnsi="宋体" w:eastAsia="宋体" w:cs="宋体"/>
                <w:b/>
                <w:bCs/>
                <w:i w:val="0"/>
                <w:iCs w:val="0"/>
                <w:color w:val="auto"/>
                <w:sz w:val="24"/>
                <w:szCs w:val="24"/>
                <w:highlight w:val="none"/>
                <w:u w:val="none"/>
                <w:lang w:val="en-US" w:eastAsia="zh-CN" w:bidi="ar"/>
              </w:rPr>
              <w:t xml:space="preserve">面积</w:t>
            </w:r>
            <w:r>
              <w:rPr>
                <w:rFonts w:hint="eastAsia" w:ascii="宋体" w:hAnsi="宋体" w:cs="宋体"/>
                <w:b/>
                <w:bCs/>
                <w:i w:val="0"/>
                <w:iCs w:val="0"/>
                <w:color w:val="auto"/>
                <w:sz w:val="24"/>
                <w:szCs w:val="24"/>
                <w:highlight w:val="none"/>
                <w:u w:val="none"/>
                <w:lang w:val="en-US" w:eastAsia="zh-CN" w:bidi="ar"/>
              </w:rPr>
              <w:t xml:space="preserve">与范围</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备注</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管委会</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旅游大厦</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天目湖宾馆三角块</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11"/>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牌楼、百花广场、天目湖宾馆门对面花缸、花箱</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明珠大道</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明珠大道大石头</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平桥花箱</w:t>
            </w:r>
            <w:r/>
          </w:p>
        </w:tc>
        <w:tc>
          <w:tcPr>
            <w:shd w:val="clear" w:color="auto" w:fill="auto"/>
            <w:tcBorders>
              <w:top w:val="single" w:color="000000" w:sz="4" w:space="0"/>
              <w:left w:val="single" w:color="000000" w:sz="4" w:space="0"/>
              <w:bottom w:val="single" w:color="000000" w:sz="4" w:space="0"/>
              <w:right w:val="single" w:color="000000" w:sz="4" w:space="0"/>
            </w:tcBorders>
            <w:tcW w:w="387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285组</w:t>
            </w:r>
            <w:r/>
          </w:p>
        </w:tc>
        <w:tc>
          <w:tcPr>
            <w:shd w:val="clear" w:color="auto" w:fill="auto"/>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numPr>
          <w:ilvl w:val="0"/>
          <w:numId w:val="0"/>
        </w:numPr>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r>
      <w:r/>
    </w:p>
    <w:p>
      <w:pPr>
        <w:numPr>
          <w:ilvl w:val="0"/>
          <w:numId w:val="0"/>
        </w:numPr>
        <w:rPr>
          <w:rFonts w:hint="default" w:ascii="宋体" w:hAnsi="宋体" w:cs="宋体"/>
          <w:color w:val="auto"/>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注：上述作业量为暂估数量，</w:t>
      </w:r>
      <w:r>
        <w:rPr>
          <w:rFonts w:hint="eastAsia" w:ascii="宋体" w:hAnsi="宋体" w:cs="宋体"/>
          <w:b/>
          <w:bCs/>
          <w:color w:val="auto"/>
          <w:spacing w:val="2"/>
          <w:sz w:val="24"/>
          <w:szCs w:val="24"/>
          <w:highlight w:val="none"/>
          <w:lang w:val="en-US" w:eastAsia="zh-CN"/>
        </w:rPr>
        <w:t xml:space="preserve">费用暂按75.33万元计入总价，</w:t>
      </w:r>
      <w:r>
        <w:rPr>
          <w:rFonts w:hint="eastAsia" w:ascii="宋体" w:hAnsi="宋体" w:cs="宋体"/>
          <w:b/>
          <w:bCs/>
          <w:color w:val="auto"/>
          <w:sz w:val="24"/>
          <w:szCs w:val="24"/>
          <w:highlight w:val="none"/>
          <w:lang w:val="en-US" w:eastAsia="zh-CN"/>
        </w:rPr>
        <w:t xml:space="preserve">若管养期内作业量减少，结算时由双方协商扣除相应款项</w:t>
      </w:r>
      <w:r>
        <w:rPr>
          <w:rFonts w:hint="eastAsia" w:ascii="宋体" w:hAnsi="宋体" w:eastAsia="宋体" w:cs="宋体"/>
          <w:b/>
          <w:bCs/>
          <w:color w:val="auto"/>
          <w:spacing w:val="2"/>
          <w:sz w:val="24"/>
          <w:szCs w:val="24"/>
          <w:highlight w:val="none"/>
          <w:lang w:val="en-US" w:eastAsia="zh-CN"/>
        </w:rPr>
        <w:t xml:space="preserve">。</w:t>
      </w:r>
      <w:r/>
    </w:p>
    <w:p>
      <w:pPr>
        <w:pStyle w:val="1069"/>
        <w:numPr>
          <w:ilvl w:val="0"/>
          <w:numId w:val="0"/>
        </w:numPr>
        <w:contextualSpacing/>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1069"/>
        <w:numPr>
          <w:ilvl w:val="0"/>
          <w:numId w:val="0"/>
        </w:numPr>
        <w:contextualSpacing/>
        <w:spacing w:line="360" w:lineRule="auto"/>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二、</w:t>
      </w:r>
      <w:r>
        <w:rPr>
          <w:rFonts w:ascii="Times New Roman" w:hAnsi="Times New Roman"/>
          <w:b/>
          <w:color w:val="auto"/>
          <w:sz w:val="24"/>
          <w:szCs w:val="24"/>
          <w:highlight w:val="none"/>
        </w:rPr>
        <w:t xml:space="preserve">商务要求</w:t>
      </w:r>
      <w:r/>
    </w:p>
    <w:p>
      <w:pPr>
        <w:contextualSpacing/>
        <w:ind w:firstLine="480"/>
        <w:keepLines w:val="0"/>
        <w:keepNext w:val="0"/>
        <w:pageBreakBefore w:val="0"/>
        <w:spacing w:line="360" w:lineRule="auto"/>
        <w:widowControl w:val="off"/>
        <w:rPr>
          <w:rFonts w:hint="eastAsia" w:ascii="宋体" w:hAnsi="宋体" w:cs="宋体"/>
          <w:i/>
          <w:color w:val="auto"/>
          <w:sz w:val="24"/>
          <w:highlight w:val="none"/>
        </w:rPr>
      </w:pPr>
      <w:r>
        <w:rPr>
          <w:rFonts w:hint="eastAsia" w:ascii="宋体" w:hAnsi="宋体" w:cs="宋体"/>
          <w:color w:val="auto"/>
          <w:sz w:val="24"/>
          <w:highlight w:val="none"/>
        </w:rPr>
        <w:t xml:space="preserve">1.服务的期限和地点</w:t>
      </w:r>
      <w:r/>
    </w:p>
    <w:p>
      <w:pPr>
        <w:contextualSpacing/>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服务期限：</w:t>
      </w:r>
      <w:r>
        <w:rPr>
          <w:rFonts w:hint="eastAsia" w:ascii="宋体" w:hAnsi="宋体" w:cs="宋体"/>
          <w:color w:val="auto"/>
          <w:sz w:val="24"/>
          <w:highlight w:val="none"/>
          <w:lang w:val="en-US" w:eastAsia="zh-CN"/>
        </w:rPr>
        <w:t xml:space="preserve">1年</w:t>
      </w:r>
      <w:r>
        <w:rPr>
          <w:rFonts w:hint="eastAsia" w:ascii="宋体" w:hAnsi="宋体" w:cs="宋体"/>
          <w:color w:val="auto"/>
          <w:sz w:val="24"/>
          <w:highlight w:val="none"/>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服务地点：采购人指定地点。</w:t>
      </w:r>
      <w:r/>
    </w:p>
    <w:p>
      <w:pPr>
        <w:contextualSpacing/>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付款条件</w:t>
      </w:r>
      <w:r/>
    </w:p>
    <w:p>
      <w:pPr>
        <w:contextualSpacing/>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1.本项目养护期为 1 年（以采购人书面通知进场时间开始计算）。</w:t>
      </w:r>
      <w:r/>
    </w:p>
    <w:p>
      <w:pPr>
        <w:contextualSpacing/>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rPr>
        <w:t xml:space="preserve">2. 付款</w:t>
      </w:r>
      <w:r>
        <w:rPr>
          <w:rFonts w:hint="eastAsia" w:ascii="宋体" w:hAnsi="宋体" w:cs="宋体"/>
          <w:color w:val="auto"/>
          <w:sz w:val="24"/>
          <w:highlight w:val="none"/>
          <w:lang w:val="en-US" w:eastAsia="zh-CN"/>
        </w:rPr>
        <w:t xml:space="preserve">方式：本项目为固定总价。</w:t>
      </w:r>
      <w:r/>
    </w:p>
    <w:p>
      <w:pPr>
        <w:contextualSpacing/>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1）管养费按季度支付，于次季度首月底前支付上季度管养费（扣除考核扣款）。</w:t>
      </w:r>
      <w:r/>
    </w:p>
    <w:p>
      <w:pPr>
        <w:contextualSpacing/>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季度管养费=合同价（扣除甲供材）/4。</w:t>
      </w:r>
      <w:r/>
    </w:p>
    <w:p>
      <w:pPr>
        <w:contextualSpacing/>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支付时，乙方应当向甲方开具相应价款发票，甲方收到发票后支付相应费用。</w:t>
      </w:r>
      <w:r/>
    </w:p>
    <w:p>
      <w:pPr>
        <w:contextualSpacing/>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2）付款方式：银行转账；</w:t>
      </w:r>
      <w:r/>
    </w:p>
    <w:p>
      <w:pPr>
        <w:contextualSpacing/>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3）根据国家现行税法对乙方征收的与本合同有关的一切税费均由乙方承担；</w:t>
      </w:r>
      <w:r/>
    </w:p>
    <w:p>
      <w:pPr>
        <w:contextualSpacing/>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3.质量要求：合格</w:t>
      </w:r>
      <w:r/>
    </w:p>
    <w:p>
      <w:pPr>
        <w:pStyle w:val="783"/>
        <w:numPr>
          <w:ilvl w:val="0"/>
          <w:numId w:val="0"/>
        </w:num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三、技术要求</w:t>
      </w:r>
      <w:r/>
    </w:p>
    <w:p>
      <w:pPr>
        <w:jc w:val="both"/>
        <w:rPr>
          <w:rFonts w:hint="default" w:ascii="宋体" w:hAnsi="宋体" w:eastAsia="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3.1</w:t>
      </w:r>
      <w:r>
        <w:rPr>
          <w:rFonts w:hint="eastAsia" w:ascii="宋体" w:hAnsi="宋体" w:eastAsia="宋体" w:cs="Times New Roman"/>
          <w:b/>
          <w:color w:val="auto"/>
          <w:sz w:val="24"/>
          <w:szCs w:val="24"/>
          <w:highlight w:val="none"/>
        </w:rPr>
        <w:t xml:space="preserve">绿化养护管理要求</w:t>
      </w:r>
      <w:r/>
    </w:p>
    <w:p>
      <w:pPr>
        <w:spacing w:line="30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bl>
      <w:tblPr>
        <w:tblStyle w:val="759"/>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134"/>
        <w:gridCol w:w="8222"/>
      </w:tblGrid>
      <w:tr>
        <w:trPr>
          <w:jc w:val="center"/>
          <w:trHeight w:val="891"/>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序号</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内容</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一级</w:t>
            </w:r>
            <w:r/>
          </w:p>
        </w:tc>
      </w:tr>
      <w:tr>
        <w:trPr>
          <w:jc w:val="center"/>
          <w:trHeight w:val="1927"/>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乔灌木</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1、树木生长正常，不倾斜（造型树木除外）；</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2、乔木树形完美，主侧枝均匀，数量适宜内膛通风透光，无枯枝、过密枝、下垂枝等；</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3、花灌木开花及时，正常，花后修剪及时。</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4、乔木根部无萌蘖枝；</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5、无缺株、死树、无杂树、无明显杂草；</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6、基本无病虫害危害迹象，成活率达98%，追肥及时。</w:t>
            </w:r>
            <w:r/>
          </w:p>
        </w:tc>
      </w:tr>
      <w:tr>
        <w:trPr>
          <w:jc w:val="center"/>
          <w:trHeight w:val="1539"/>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绿篱修剪色块地被</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1、生长茂盛，枝条茂密，密度适宜；</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2、生长季节修剪，追肥及时，修剪形态符合景观观赏要求；</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3、无人为践踏、断行缺株现象；</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4、基本无病虫害危害。成活率达98%。</w:t>
            </w:r>
            <w:r/>
          </w:p>
        </w:tc>
      </w:tr>
      <w:tr>
        <w:trPr>
          <w:jc w:val="center"/>
          <w:trHeight w:val="2100"/>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草坪</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1、草坪生长茂盛，景观效果好，成活率达98%；</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2、修剪及时，追肥及时，高度符合要求；</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3、草坪边缘线清晰（树穴、花坛交界处其它植物间）；</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4、基本无杂草，杂草控制高度在5cm以下,基本无病虫害危害现象；</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5、草坪集中空秃面积不超过0.3m2；</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6、绿地平整，无坑洼积水；</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7、草坪无明显色差。</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8、迎宾大道、百花广场等9月中下旬播种黑麦草，成活率达98%。</w:t>
            </w:r>
            <w:r/>
          </w:p>
        </w:tc>
      </w:tr>
      <w:tr>
        <w:trPr>
          <w:jc w:val="center"/>
          <w:trHeight w:val="1542"/>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绿地秩序</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1、无侵占毁绿行为和现象；</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2、无乱堆乱放、晾晒衣物、无乱设摊和车辆乱停放现象；</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3、对被破坏或其他原因引起的绿地损坏及时处理，需发包方配合及时上报；</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4、及时清远各种垃圾杂物等，严禁现场焚烧。</w:t>
            </w:r>
            <w:r/>
          </w:p>
        </w:tc>
      </w:tr>
      <w:tr>
        <w:trPr>
          <w:jc w:val="center"/>
          <w:trHeight w:val="834"/>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人员要求</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1、上岗人员年龄、数量符合规定</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2、在岗人员统一着装，穿戴整齐，安全、规范、文明作业。</w:t>
            </w:r>
            <w:r/>
          </w:p>
        </w:tc>
      </w:tr>
      <w:tr>
        <w:trPr>
          <w:jc w:val="center"/>
          <w:trHeight w:val="1826"/>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组织管理</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1、绿化管理台账齐全，有专人负责；</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2、根据绿地情况，制定绿地管养技术措施及年度养护计划、月度工作计划等；</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3、有应急抢险预案措施；</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4、加强对职工培训，提高人员的技术水平；</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5、按照有关安全生产操作规程组织作业。</w:t>
            </w:r>
            <w:r/>
          </w:p>
        </w:tc>
      </w:tr>
    </w:tbl>
    <w:p>
      <w:pPr>
        <w:contextualSpacing/>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tbl>
      <w:tblPr>
        <w:tblStyle w:val="759"/>
        <w:tblW w:w="10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10"/>
        <w:gridCol w:w="8213"/>
      </w:tblGrid>
      <w:tr>
        <w:trPr>
          <w:jc w:val="center"/>
          <w:trHeight w:val="956"/>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序号</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内容</w:t>
            </w:r>
            <w:r/>
          </w:p>
        </w:tc>
        <w:tc>
          <w:tcPr>
            <w:tcW w:w="8213"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二级</w:t>
            </w:r>
            <w:r/>
          </w:p>
        </w:tc>
      </w:tr>
      <w:tr>
        <w:trPr>
          <w:jc w:val="center"/>
          <w:trHeight w:val="1799"/>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乔灌木</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1、树木生长正常，不倾斜（造型树木除外）；</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2、乔木树形完美，主侧枝均匀，数量适宜内膛通风透光，无枯枝、过密枝、下垂枝等；</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3、花灌木开花及时，正常，花后修剪及时。</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4、无缺株、死树、无杂树、无明显杂草；</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5、基本无病虫害危害迹象，成活率达95%，追肥及时。</w:t>
            </w:r>
            <w:r/>
          </w:p>
        </w:tc>
      </w:tr>
      <w:tr>
        <w:trPr>
          <w:jc w:val="center"/>
          <w:trHeight w:val="1443"/>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绿篱修剪色块地被</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1、生长茂盛，枝条茂密，密度适宜；</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2、生长季节修剪，追肥及时，修剪形态符合景观观赏要求；</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3、无人为践踏、断行缺株现象；</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4、基本无病虫害危害，成活率达95%.</w:t>
            </w:r>
            <w:r/>
          </w:p>
        </w:tc>
      </w:tr>
      <w:tr>
        <w:trPr>
          <w:jc w:val="center"/>
          <w:trHeight w:val="2178"/>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草坪</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1、草坪生长茂盛，成活率达95%；</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2、修剪及时，追肥及时，高度符合要求；</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3、草坪边缘线清晰（树穴、花坛交界处其它植物间）；</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4、基本无杂草，杂草控制高度在5cm以下,基本无病虫害危害现象；</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5、绿地平整，无坑洼积水。</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6、草坪集中空秃面积不超过0.5m2</w:t>
            </w:r>
            <w:r/>
          </w:p>
        </w:tc>
      </w:tr>
      <w:tr>
        <w:trPr>
          <w:jc w:val="center"/>
          <w:trHeight w:val="1706"/>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绿地秩序</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1、无侵占毁绿行为和现象；</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2、无乱堆乱放、晾晒衣物、无乱设摊和车辆乱停放现象；</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3、对被破坏或其他原因引起的绿地损坏及时处理，需发包方配合及时上报；</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4、及时清远各种垃圾杂物等，严禁现场焚烧。</w:t>
            </w:r>
            <w:r/>
          </w:p>
        </w:tc>
      </w:tr>
      <w:tr>
        <w:trPr>
          <w:jc w:val="center"/>
          <w:trHeight w:val="797"/>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5</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人员要求</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1、上岗人员年龄、数量符合规定</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2、在岗人员统一着装，穿戴整齐，安全、规范、文明作业。</w:t>
            </w:r>
            <w:r/>
          </w:p>
        </w:tc>
      </w:tr>
      <w:tr>
        <w:trPr>
          <w:jc w:val="center"/>
          <w:trHeight w:val="1738"/>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6</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组织管理</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1、绿化管理台账齐全，有专人负责；</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2、根据绿地情况，制定绿地管养技术措施及年度养护计划、月度工作计划等；</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3、有应急抢险预案措施；</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4、加强对职工培训，提高人员的技术水平；</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5、按照有关安全生产操作规程组织作业。</w:t>
            </w:r>
            <w:r/>
          </w:p>
        </w:tc>
      </w:tr>
    </w:tbl>
    <w:p>
      <w:pPr>
        <w:pStyle w:val="770"/>
        <w:ind w:right="231" w:firstLine="0"/>
        <w:spacing w:line="360" w:lineRule="auto"/>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b/>
          <w:bCs/>
          <w:color w:val="auto"/>
          <w:spacing w:val="2"/>
          <w:sz w:val="24"/>
          <w:szCs w:val="24"/>
          <w:highlight w:val="none"/>
        </w:rPr>
        <w:t xml:space="preserve">人员</w:t>
      </w:r>
      <w:r>
        <w:rPr>
          <w:rFonts w:hint="eastAsia" w:ascii="宋体" w:hAnsi="宋体" w:eastAsia="宋体" w:cs="宋体"/>
          <w:b/>
          <w:bCs/>
          <w:color w:val="auto"/>
          <w:spacing w:val="2"/>
          <w:sz w:val="24"/>
          <w:szCs w:val="24"/>
          <w:highlight w:val="none"/>
          <w:lang w:eastAsia="zh-CN"/>
        </w:rPr>
        <w:t xml:space="preserve">及</w:t>
      </w:r>
      <w:r>
        <w:rPr>
          <w:rFonts w:hint="eastAsia" w:ascii="宋体" w:hAnsi="宋体" w:eastAsia="宋体" w:cs="宋体"/>
          <w:b/>
          <w:bCs/>
          <w:color w:val="auto"/>
          <w:spacing w:val="2"/>
          <w:sz w:val="24"/>
          <w:szCs w:val="24"/>
          <w:highlight w:val="none"/>
          <w:lang w:val="en-US" w:eastAsia="zh-CN"/>
        </w:rPr>
        <w:t xml:space="preserve">机具最低配备</w:t>
      </w:r>
      <w:r>
        <w:rPr>
          <w:rFonts w:hint="eastAsia" w:ascii="宋体" w:hAnsi="宋体" w:eastAsia="宋体" w:cs="宋体"/>
          <w:b/>
          <w:bCs/>
          <w:color w:val="auto"/>
          <w:spacing w:val="2"/>
          <w:sz w:val="24"/>
          <w:szCs w:val="24"/>
          <w:highlight w:val="none"/>
        </w:rPr>
        <w:t xml:space="preserve">要求：</w:t>
      </w:r>
      <w:r/>
    </w:p>
    <w:tbl>
      <w:tblPr>
        <w:tblStyle w:val="759"/>
        <w:tblW w:w="966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792"/>
        <w:gridCol w:w="2683"/>
        <w:gridCol w:w="3925"/>
      </w:tblGrid>
      <w:tr>
        <w:trPr>
          <w:trHeight w:val="51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tabs>
                <w:tab w:val="left" w:pos="5025" w:leader="none"/>
              </w:tabs>
              <w:rPr>
                <w:rFonts w:hint="eastAsia" w:ascii="宋体" w:hAnsi="宋体" w:eastAsia="宋体" w:cs="宋体"/>
                <w:b/>
                <w:bCs/>
                <w:color w:val="auto"/>
                <w:spacing w:val="2"/>
                <w:sz w:val="24"/>
                <w:szCs w:val="24"/>
                <w:highlight w:val="none"/>
                <w:lang w:eastAsia="zh-CN"/>
              </w:rPr>
            </w:pPr>
            <w:r>
              <w:rPr>
                <w:rFonts w:hint="eastAsia" w:ascii="宋体" w:hAnsi="宋体" w:cs="宋体"/>
                <w:b/>
                <w:bCs/>
                <w:color w:val="auto"/>
                <w:spacing w:val="2"/>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spacing w:line="360" w:lineRule="auto"/>
              <w:tabs>
                <w:tab w:val="left" w:pos="5025" w:leader="none"/>
              </w:tabs>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最低管养人数</w:t>
            </w:r>
            <w:r/>
          </w:p>
        </w:tc>
        <w:tc>
          <w:tcPr>
            <w:tcBorders>
              <w:top w:val="single" w:color="auto" w:sz="4" w:space="0"/>
              <w:left w:val="single" w:color="auto" w:sz="4" w:space="0"/>
              <w:bottom w:val="single" w:color="auto" w:sz="4" w:space="0"/>
              <w:right w:val="single" w:color="auto" w:sz="4" w:space="0"/>
            </w:tcBorders>
            <w:tcW w:w="2683" w:type="dxa"/>
            <w:vAlign w:val="center"/>
            <w:textDirection w:val="lrTb"/>
            <w:noWrap w:val="false"/>
          </w:tcPr>
          <w:p>
            <w:pPr>
              <w:jc w:val="center"/>
              <w:spacing w:line="360" w:lineRule="auto"/>
              <w:tabs>
                <w:tab w:val="left" w:pos="5025" w:leader="none"/>
              </w:tabs>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甲供材料费（万元/年）</w:t>
            </w:r>
            <w:r/>
          </w:p>
        </w:tc>
        <w:tc>
          <w:tcPr>
            <w:tcBorders>
              <w:top w:val="single" w:color="auto" w:sz="4" w:space="0"/>
              <w:left w:val="single" w:color="auto" w:sz="4" w:space="0"/>
              <w:bottom w:val="single" w:color="auto" w:sz="4" w:space="0"/>
              <w:right w:val="single" w:color="auto" w:sz="4" w:space="0"/>
            </w:tcBorders>
            <w:tcW w:w="3925" w:type="dxa"/>
            <w:vAlign w:val="center"/>
            <w:textDirection w:val="lrTb"/>
            <w:noWrap w:val="false"/>
          </w:tcPr>
          <w:p>
            <w:pPr>
              <w:jc w:val="center"/>
              <w:spacing w:line="360" w:lineRule="auto"/>
              <w:tabs>
                <w:tab w:val="left" w:pos="5025" w:leader="none"/>
              </w:tabs>
              <w:rPr>
                <w:rFonts w:hint="default" w:ascii="宋体" w:hAnsi="宋体" w:eastAsia="宋体" w:cs="宋体"/>
                <w:b/>
                <w:bCs/>
                <w:color w:val="auto"/>
                <w:spacing w:val="2"/>
                <w:sz w:val="24"/>
                <w:szCs w:val="24"/>
                <w:highlight w:val="none"/>
                <w:lang w:val="en-US" w:eastAsia="zh-CN"/>
              </w:rPr>
            </w:pPr>
            <w:r>
              <w:rPr>
                <w:rFonts w:hint="eastAsia" w:ascii="宋体" w:hAnsi="宋体" w:cs="宋体"/>
                <w:b/>
                <w:bCs/>
                <w:color w:val="auto"/>
                <w:spacing w:val="2"/>
                <w:sz w:val="24"/>
                <w:szCs w:val="24"/>
                <w:highlight w:val="none"/>
                <w:lang w:val="en-US" w:eastAsia="zh-CN"/>
              </w:rPr>
              <w:t xml:space="preserve">机具配备要求</w:t>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26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925"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草坪车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1辆、绿篱机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5台、草坪机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5台、割灌机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5台、药水机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5台、水泵</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5台、吹风机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3台、油锯</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3台、打孔机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1台</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洒水车</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运输车</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登高车或移动式升降平台(≥16m)</w:t>
            </w:r>
            <w:r>
              <w:rPr>
                <w:rFonts w:hint="eastAsia" w:ascii="宋体" w:hAnsi="宋体" w:cs="宋体"/>
                <w:color w:val="auto"/>
                <w:sz w:val="24"/>
                <w:szCs w:val="24"/>
                <w:highlight w:val="none"/>
                <w:lang w:val="en-US" w:eastAsia="zh-CN"/>
              </w:rPr>
              <w:t xml:space="preserve">≥2辆</w:t>
            </w:r>
            <w:r/>
          </w:p>
        </w:tc>
      </w:tr>
      <w:tr>
        <w:trPr>
          <w:trHeight w:val="547"/>
        </w:trPr>
        <w:tc>
          <w:tcPr>
            <w:gridSpan w:val="4"/>
            <w:tcBorders>
              <w:top w:val="single" w:color="auto" w:sz="4" w:space="0"/>
              <w:left w:val="single" w:color="auto" w:sz="4" w:space="0"/>
              <w:bottom w:val="single" w:color="auto" w:sz="4" w:space="0"/>
              <w:right w:val="single" w:color="auto" w:sz="4" w:space="0"/>
            </w:tcBorders>
            <w:tcW w:w="9662" w:type="dxa"/>
            <w:vAlign w:val="center"/>
            <w:textDirection w:val="lrTb"/>
            <w:noWrap w:val="false"/>
          </w:tcPr>
          <w:p>
            <w:pPr>
              <w:spacing w:line="360" w:lineRule="auto"/>
              <w:tabs>
                <w:tab w:val="left" w:pos="5025" w:leader="none"/>
              </w:tabs>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管养人员年龄要求：</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w:t>
            </w: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65</w:t>
            </w:r>
            <w:r>
              <w:rPr>
                <w:rFonts w:hint="eastAsia" w:ascii="宋体" w:hAnsi="宋体" w:eastAsia="宋体" w:cs="宋体"/>
                <w:color w:val="auto"/>
                <w:spacing w:val="2"/>
                <w:sz w:val="24"/>
                <w:szCs w:val="24"/>
                <w:highlight w:val="none"/>
              </w:rPr>
              <w:t xml:space="preserve">周岁。</w:t>
            </w:r>
            <w:r/>
          </w:p>
          <w:p>
            <w:pPr>
              <w:spacing w:line="360" w:lineRule="auto"/>
              <w:tabs>
                <w:tab w:val="left" w:pos="5025" w:leader="none"/>
              </w:tabs>
              <w:rPr>
                <w:rFonts w:hint="eastAsia" w:ascii="宋体" w:hAnsi="宋体" w:eastAsia="宋体" w:cs="宋体"/>
                <w:color w:val="auto"/>
                <w:spacing w:val="2"/>
                <w:sz w:val="24"/>
                <w:szCs w:val="24"/>
                <w:highlight w:val="none"/>
                <w:lang w:eastAsia="zh-CN"/>
              </w:rPr>
            </w:pPr>
            <w:r>
              <w:rPr>
                <w:rFonts w:hint="eastAsia" w:ascii="宋体" w:hAnsi="宋体" w:cs="宋体"/>
                <w:color w:val="auto"/>
                <w:sz w:val="24"/>
                <w:highlight w:val="none"/>
                <w:lang w:val="en-US" w:eastAsia="zh-CN"/>
              </w:rPr>
              <w:t xml:space="preserve">2)管养人员的工作时间按采购人要求执行，成交</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根据季节制定轮值计划并报采购人同意</w:t>
            </w:r>
            <w:r>
              <w:rPr>
                <w:rFonts w:hint="eastAsia" w:ascii="宋体" w:hAnsi="宋体" w:cs="宋体"/>
                <w:color w:val="auto"/>
                <w:sz w:val="24"/>
                <w:highlight w:val="none"/>
                <w:lang w:eastAsia="zh-CN"/>
              </w:rPr>
              <w:t xml:space="preserve">。</w:t>
            </w:r>
            <w:r/>
          </w:p>
          <w:p>
            <w:pPr>
              <w:spacing w:line="360" w:lineRule="auto"/>
              <w:tabs>
                <w:tab w:val="left" w:pos="5025" w:leader="none"/>
              </w:tabs>
              <w:rPr>
                <w:rFonts w:hint="default" w:ascii="宋体" w:hAnsi="宋体" w:eastAsia="宋体" w:cs="宋体"/>
                <w:color w:val="auto"/>
                <w:sz w:val="24"/>
                <w:szCs w:val="24"/>
                <w:highlight w:val="none"/>
                <w:lang w:val="en-US"/>
              </w:rPr>
            </w:pPr>
            <w:r>
              <w:rPr>
                <w:rFonts w:hint="eastAsia" w:ascii="宋体" w:hAnsi="宋体" w:cs="宋体"/>
                <w:color w:val="auto"/>
                <w:spacing w:val="2"/>
                <w:sz w:val="24"/>
                <w:szCs w:val="24"/>
                <w:highlight w:val="none"/>
                <w:lang w:val="en-US" w:eastAsia="zh-CN"/>
              </w:rPr>
              <w:t xml:space="preserve">3）管养人员中须至少包含一名项目负责人及两名司机，人员可兼任。</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90"/>
        <w:keepLines w:val="0"/>
        <w:keepNext w:val="0"/>
        <w:pageBreakBefore w:val="0"/>
        <w:spacing w:line="360" w:lineRule="auto"/>
        <w:widowControl w:val="off"/>
        <w:tabs>
          <w:tab w:val="left" w:pos="5025" w:leader="none"/>
        </w:tabs>
        <w:rPr>
          <w:rFonts w:hint="default" w:ascii="宋体" w:hAnsi="宋体" w:eastAsia="宋体" w:cs="宋体"/>
          <w:b/>
          <w:bCs/>
          <w:color w:val="auto"/>
          <w:spacing w:val="-7"/>
          <w:sz w:val="24"/>
          <w:szCs w:val="24"/>
          <w:highlight w:val="none"/>
        </w:rPr>
      </w:pPr>
      <w:r>
        <w:rPr>
          <w:rFonts w:hint="eastAsia" w:ascii="宋体" w:hAnsi="宋体" w:eastAsia="宋体" w:cs="宋体"/>
          <w:b/>
          <w:bCs/>
          <w:color w:val="auto"/>
          <w:spacing w:val="2"/>
          <w:sz w:val="24"/>
          <w:szCs w:val="24"/>
          <w:highlight w:val="none"/>
        </w:rPr>
        <w:t xml:space="preserve">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rPr>
        <w:t xml:space="preserve">甲供</w:t>
      </w:r>
      <w:r>
        <w:rPr>
          <w:rFonts w:hint="eastAsia" w:ascii="宋体" w:hAnsi="宋体" w:cs="宋体"/>
          <w:b/>
          <w:bCs/>
          <w:color w:val="auto"/>
          <w:sz w:val="24"/>
          <w:szCs w:val="24"/>
          <w:highlight w:val="none"/>
          <w:lang w:val="en-US" w:eastAsia="zh-CN"/>
        </w:rPr>
        <w:t xml:space="preserve">材料费4万元/年为不可竞争费</w:t>
      </w:r>
      <w:r>
        <w:rPr>
          <w:rFonts w:hint="eastAsia" w:ascii="宋体" w:hAnsi="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rPr>
        <w:t xml:space="preserve">根据管养需要，由采购人安</w:t>
      </w:r>
      <w:r>
        <w:rPr>
          <w:rFonts w:hint="default" w:ascii="宋体" w:hAnsi="宋体" w:eastAsia="宋体" w:cs="宋体"/>
          <w:b/>
          <w:bCs/>
          <w:color w:val="auto"/>
          <w:spacing w:val="-1"/>
          <w:sz w:val="24"/>
          <w:szCs w:val="24"/>
          <w:highlight w:val="none"/>
        </w:rPr>
        <w:t xml:space="preserve">排一定量的肥料</w:t>
      </w:r>
      <w:r>
        <w:rPr>
          <w:rFonts w:hint="eastAsia" w:ascii="宋体" w:hAnsi="宋体" w:cs="宋体"/>
          <w:b/>
          <w:bCs/>
          <w:color w:val="auto"/>
          <w:spacing w:val="-1"/>
          <w:sz w:val="24"/>
          <w:szCs w:val="24"/>
          <w:highlight w:val="none"/>
          <w:lang w:val="en-US" w:eastAsia="zh-CN"/>
        </w:rPr>
        <w:t xml:space="preserve">等费用</w:t>
      </w:r>
      <w:r>
        <w:rPr>
          <w:rFonts w:hint="default" w:ascii="宋体" w:hAnsi="宋体" w:eastAsia="宋体" w:cs="宋体"/>
          <w:b/>
          <w:bCs/>
          <w:color w:val="auto"/>
          <w:spacing w:val="-1"/>
          <w:sz w:val="24"/>
          <w:szCs w:val="24"/>
          <w:highlight w:val="none"/>
        </w:rPr>
        <w:t xml:space="preserve">，供应商在报价时将甲供材料费用</w:t>
      </w:r>
      <w:r>
        <w:rPr>
          <w:rFonts w:hint="default" w:ascii="宋体" w:hAnsi="宋体" w:cs="宋体"/>
          <w:b/>
          <w:bCs/>
          <w:color w:val="auto"/>
          <w:sz w:val="24"/>
          <w:szCs w:val="24"/>
          <w:highlight w:val="none"/>
          <w:lang w:val="en-US" w:eastAsia="zh-CN"/>
        </w:rPr>
        <w:t xml:space="preserve">计入报价金额，</w:t>
      </w:r>
      <w:r>
        <w:rPr>
          <w:rFonts w:hint="eastAsia" w:ascii="宋体" w:hAnsi="宋体" w:cs="宋体"/>
          <w:b/>
          <w:bCs/>
          <w:color w:val="auto"/>
          <w:sz w:val="24"/>
          <w:szCs w:val="24"/>
          <w:highlight w:val="none"/>
          <w:lang w:val="en-US" w:eastAsia="zh-CN"/>
        </w:rPr>
        <w:t xml:space="preserve">但不列入管养费用支付，供应商不得改变此报价，否则作无效投标处理</w:t>
      </w:r>
      <w:r>
        <w:rPr>
          <w:rFonts w:hint="default" w:ascii="宋体" w:hAnsi="宋体" w:cs="宋体"/>
          <w:b/>
          <w:bCs/>
          <w:color w:val="auto"/>
          <w:sz w:val="24"/>
          <w:szCs w:val="24"/>
          <w:highlight w:val="none"/>
          <w:lang w:val="en-US" w:eastAsia="zh-CN"/>
        </w:rPr>
        <w:t xml:space="preserve">。</w:t>
      </w:r>
      <w:r/>
    </w:p>
    <w:p>
      <w:pPr>
        <w:ind w:right="0" w:firstLine="478"/>
        <w:keepLines w:val="0"/>
        <w:keepNext w:val="0"/>
        <w:pageBreakBefore w:val="0"/>
        <w:spacing w:line="360" w:lineRule="auto"/>
        <w:widowControl w:val="off"/>
        <w:tabs>
          <w:tab w:val="left" w:pos="5025" w:leader="none"/>
        </w:tabs>
        <w:rPr>
          <w:rFonts w:hint="default" w:ascii="宋体" w:hAnsi="宋体" w:eastAsia="宋体" w:cs="宋体"/>
          <w:b/>
          <w:bCs/>
          <w:color w:val="auto"/>
          <w:spacing w:val="-1"/>
          <w:sz w:val="24"/>
          <w:szCs w:val="24"/>
          <w:highlight w:val="none"/>
          <w:lang w:val="en-US" w:eastAsia="zh-CN"/>
        </w:rPr>
      </w:pPr>
      <w:r>
        <w:rPr>
          <w:rFonts w:hint="eastAsia" w:ascii="宋体" w:hAnsi="宋体" w:cs="宋体"/>
          <w:b/>
          <w:bCs/>
          <w:color w:val="auto"/>
          <w:spacing w:val="-1"/>
          <w:sz w:val="24"/>
          <w:szCs w:val="24"/>
          <w:highlight w:val="none"/>
          <w:lang w:val="en-US" w:eastAsia="zh-CN"/>
        </w:rPr>
        <w:t xml:space="preserve">（2）</w:t>
      </w:r>
      <w:r>
        <w:rPr>
          <w:rFonts w:hint="eastAsia" w:ascii="宋体" w:hAnsi="宋体" w:eastAsia="宋体" w:cs="宋体"/>
          <w:b/>
          <w:bCs/>
          <w:color w:val="auto"/>
          <w:spacing w:val="-1"/>
          <w:sz w:val="24"/>
          <w:szCs w:val="24"/>
          <w:highlight w:val="none"/>
          <w:lang w:val="en-US" w:eastAsia="zh-CN"/>
        </w:rPr>
        <w:t xml:space="preserve">养护期内农药、用水、机具（折旧、年审、维修、保险、保养）、油耗等费用均已包含在投标报价中，</w:t>
      </w:r>
      <w:r>
        <w:rPr>
          <w:rFonts w:hint="eastAsia" w:ascii="宋体" w:hAnsi="宋体" w:eastAsia="宋体" w:cs="宋体"/>
          <w:b/>
          <w:bCs/>
          <w:color w:val="auto"/>
          <w:spacing w:val="-1"/>
          <w:sz w:val="24"/>
          <w:szCs w:val="24"/>
          <w:highlight w:val="none"/>
        </w:rPr>
        <w:t xml:space="preserve">供应商</w:t>
      </w:r>
      <w:r>
        <w:rPr>
          <w:rFonts w:hint="eastAsia" w:ascii="宋体" w:hAnsi="宋体" w:eastAsia="宋体" w:cs="宋体"/>
          <w:b/>
          <w:bCs/>
          <w:color w:val="auto"/>
          <w:spacing w:val="-1"/>
          <w:sz w:val="24"/>
          <w:szCs w:val="24"/>
          <w:highlight w:val="none"/>
          <w:lang w:val="en-US" w:eastAsia="zh-CN"/>
        </w:rPr>
        <w:t xml:space="preserve">报价时</w:t>
      </w:r>
      <w:r>
        <w:rPr>
          <w:rFonts w:hint="eastAsia" w:ascii="宋体" w:hAnsi="宋体" w:eastAsia="宋体" w:cs="宋体"/>
          <w:b/>
          <w:bCs/>
          <w:color w:val="auto"/>
          <w:spacing w:val="-1"/>
          <w:sz w:val="24"/>
          <w:szCs w:val="24"/>
          <w:highlight w:val="none"/>
        </w:rPr>
        <w:t xml:space="preserve">，应综合考虑。</w:t>
      </w:r>
      <w:r>
        <w:rPr>
          <w:rFonts w:hint="eastAsia" w:ascii="宋体" w:hAnsi="宋体" w:eastAsia="宋体" w:cs="宋体"/>
          <w:b/>
          <w:bCs/>
          <w:color w:val="auto"/>
          <w:spacing w:val="-1"/>
          <w:sz w:val="24"/>
          <w:szCs w:val="24"/>
          <w:highlight w:val="none"/>
          <w:lang w:val="en-US" w:eastAsia="zh-CN"/>
        </w:rPr>
        <w:t xml:space="preserve">成交后</w:t>
      </w:r>
      <w:r>
        <w:rPr>
          <w:rFonts w:hint="eastAsia" w:ascii="宋体" w:hAnsi="宋体" w:eastAsia="宋体" w:cs="宋体"/>
          <w:b/>
          <w:bCs/>
          <w:color w:val="auto"/>
          <w:spacing w:val="-1"/>
          <w:sz w:val="24"/>
          <w:szCs w:val="24"/>
          <w:highlight w:val="none"/>
        </w:rPr>
        <w:t xml:space="preserve">不得以任何理由向采购人提出追加费用或其他要求。</w:t>
      </w:r>
      <w:r/>
    </w:p>
    <w:p>
      <w:pPr>
        <w:ind w:right="0" w:firstLine="488"/>
        <w:keepLines w:val="0"/>
        <w:keepNext w:val="0"/>
        <w:pageBreakBefore w:val="0"/>
        <w:spacing w:line="360" w:lineRule="auto"/>
        <w:widowControl w:val="off"/>
        <w:tabs>
          <w:tab w:val="left" w:pos="5025" w:leader="none"/>
        </w:tabs>
        <w:rPr>
          <w:rFonts w:hint="eastAsia" w:ascii="宋体" w:hAnsi="宋体" w:eastAsia="宋体" w:cs="宋体"/>
          <w:b/>
          <w:bCs/>
          <w:color w:val="auto"/>
          <w:spacing w:val="2"/>
          <w:sz w:val="24"/>
          <w:szCs w:val="24"/>
          <w:highlight w:val="none"/>
        </w:rPr>
      </w:pP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）应急费：</w:t>
      </w:r>
      <w:r>
        <w:rPr>
          <w:rFonts w:hint="eastAsia" w:ascii="宋体" w:hAnsi="宋体" w:eastAsia="宋体" w:cs="Century"/>
          <w:color w:val="auto"/>
          <w:spacing w:val="2"/>
          <w:sz w:val="24"/>
          <w:szCs w:val="24"/>
          <w:highlight w:val="none"/>
        </w:rPr>
        <w:t xml:space="preserve">养护单位必须制定灾害性天气应急预案，建立一支稳定的应急抢险队伍，并配备必须的应急设备，确保出现灾害性天气时，能够第一时间投入抢险救灾，并服从甲方另行安排的其它范围内的应急抢险任务，</w:t>
      </w:r>
      <w:r>
        <w:rPr>
          <w:rFonts w:hint="eastAsia" w:ascii="宋体" w:hAnsi="宋体" w:eastAsia="宋体" w:cs="Century"/>
          <w:color w:val="auto"/>
          <w:spacing w:val="2"/>
          <w:sz w:val="24"/>
          <w:szCs w:val="24"/>
          <w:highlight w:val="none"/>
          <w:lang w:val="en-US" w:eastAsia="zh-CN"/>
        </w:rPr>
        <w:t xml:space="preserve">该项费用已包含在投标价中，</w:t>
      </w:r>
      <w:r>
        <w:rPr>
          <w:rFonts w:hint="eastAsia" w:ascii="宋体" w:hAnsi="宋体" w:eastAsia="宋体" w:cs="Century"/>
          <w:color w:val="auto"/>
          <w:spacing w:val="2"/>
          <w:sz w:val="24"/>
          <w:szCs w:val="24"/>
          <w:highlight w:val="none"/>
        </w:rPr>
        <w:t xml:space="preserve">供应商</w:t>
      </w:r>
      <w:r>
        <w:rPr>
          <w:rFonts w:hint="eastAsia" w:ascii="宋体" w:hAnsi="宋体" w:eastAsia="宋体" w:cs="Century"/>
          <w:color w:val="auto"/>
          <w:spacing w:val="2"/>
          <w:sz w:val="24"/>
          <w:szCs w:val="24"/>
          <w:highlight w:val="none"/>
          <w:lang w:val="en-US" w:eastAsia="zh-CN"/>
        </w:rPr>
        <w:t xml:space="preserve">报价时</w:t>
      </w:r>
      <w:r>
        <w:rPr>
          <w:rFonts w:hint="eastAsia" w:ascii="宋体" w:hAnsi="宋体" w:eastAsia="宋体" w:cs="Century"/>
          <w:color w:val="auto"/>
          <w:spacing w:val="2"/>
          <w:sz w:val="24"/>
          <w:szCs w:val="24"/>
          <w:highlight w:val="none"/>
        </w:rPr>
        <w:t xml:space="preserve">，应综合考虑。</w:t>
      </w:r>
      <w:r/>
    </w:p>
    <w:p>
      <w:pPr>
        <w:ind w:right="0" w:firstLine="482"/>
        <w:keepLines w:val="0"/>
        <w:keepNext w:val="0"/>
        <w:pageBreakBefore w:val="0"/>
        <w:spacing w:line="360" w:lineRule="auto"/>
        <w:widowControl w:val="off"/>
        <w:tabs>
          <w:tab w:val="left" w:pos="5025" w:leader="none"/>
        </w:tabs>
        <w:rPr>
          <w:rFonts w:hint="eastAsia" w:ascii="宋体" w:hAnsi="宋体" w:eastAsia="宋体" w:cs="宋体"/>
          <w:color w:val="auto"/>
          <w:spacing w:val="2"/>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w:t>
      </w:r>
      <w:r>
        <w:rPr>
          <w:rFonts w:hint="eastAsia" w:ascii="宋体" w:hAnsi="宋体" w:eastAsia="宋体" w:cs="宋体"/>
          <w:b/>
          <w:bCs/>
          <w:color w:val="auto"/>
          <w:spacing w:val="2"/>
          <w:sz w:val="24"/>
          <w:szCs w:val="24"/>
          <w:highlight w:val="none"/>
        </w:rPr>
        <w:t xml:space="preserve">管养人员的人数不得低于</w:t>
      </w:r>
      <w:r>
        <w:rPr>
          <w:rFonts w:hint="eastAsia" w:ascii="宋体" w:hAnsi="宋体" w:cs="宋体"/>
          <w:b/>
          <w:bCs/>
          <w:color w:val="auto"/>
          <w:spacing w:val="2"/>
          <w:sz w:val="24"/>
          <w:szCs w:val="24"/>
          <w:highlight w:val="none"/>
          <w:lang w:val="en-US" w:eastAsia="zh-CN"/>
        </w:rPr>
        <w:t xml:space="preserve">21</w:t>
      </w:r>
      <w:r>
        <w:rPr>
          <w:rFonts w:hint="eastAsia" w:ascii="宋体" w:hAnsi="宋体" w:eastAsia="宋体" w:cs="宋体"/>
          <w:b/>
          <w:bCs/>
          <w:color w:val="auto"/>
          <w:spacing w:val="2"/>
          <w:sz w:val="24"/>
          <w:szCs w:val="24"/>
          <w:highlight w:val="none"/>
        </w:rPr>
        <w:t xml:space="preserve">人，</w:t>
      </w:r>
      <w:r>
        <w:rPr>
          <w:rFonts w:hint="default" w:ascii="宋体" w:hAnsi="宋体" w:eastAsia="宋体" w:cs="宋体"/>
          <w:b w:val="0"/>
          <w:bCs w:val="0"/>
          <w:color w:val="auto"/>
          <w:spacing w:val="-2"/>
          <w:sz w:val="24"/>
          <w:szCs w:val="24"/>
          <w:highlight w:val="none"/>
        </w:rPr>
        <w:t xml:space="preserve">否则</w:t>
      </w:r>
      <w:r>
        <w:rPr>
          <w:rFonts w:hint="default" w:ascii="宋体" w:hAnsi="宋体" w:eastAsia="宋体" w:cs="宋体"/>
          <w:color w:val="auto"/>
          <w:spacing w:val="-3"/>
          <w:sz w:val="24"/>
          <w:szCs w:val="24"/>
          <w:highlight w:val="none"/>
        </w:rPr>
        <w:t xml:space="preserve">按</w:t>
      </w:r>
      <w:r>
        <w:rPr>
          <w:rFonts w:hint="eastAsia" w:ascii="宋体" w:hAnsi="宋体" w:cs="宋体"/>
          <w:color w:val="auto"/>
          <w:spacing w:val="-3"/>
          <w:sz w:val="24"/>
          <w:szCs w:val="24"/>
          <w:highlight w:val="none"/>
          <w:lang w:eastAsia="zh-CN"/>
        </w:rPr>
        <w:t xml:space="preserve">无效响应文件</w:t>
      </w:r>
      <w:r>
        <w:rPr>
          <w:rFonts w:hint="default" w:ascii="宋体" w:hAnsi="宋体" w:eastAsia="宋体" w:cs="宋体"/>
          <w:color w:val="auto"/>
          <w:spacing w:val="-3"/>
          <w:sz w:val="24"/>
          <w:szCs w:val="24"/>
          <w:highlight w:val="none"/>
        </w:rPr>
        <w:t xml:space="preserve">处理；供应商承接本项目须确保作业人员工资不低于最新的溧阳市最低工资标准的（合同履行期限内，有新标准执行新标准），按时足额缴纳各项税费，支付“五金”、商业险、高温费（不低于溧阳市最新的发放标准，合同履行期限内，有新标准执行新标准）、加班费、劳保费、过节费、补贴费用，并建立职工有关档案</w:t>
      </w:r>
      <w:r>
        <w:rPr>
          <w:rFonts w:hint="eastAsia" w:ascii="宋体" w:hAnsi="宋体" w:cs="宋体"/>
          <w:color w:val="auto"/>
          <w:spacing w:val="-3"/>
          <w:sz w:val="24"/>
          <w:szCs w:val="24"/>
          <w:highlight w:val="none"/>
          <w:lang w:eastAsia="zh-CN"/>
        </w:rPr>
        <w:t xml:space="preserve">；</w:t>
      </w:r>
      <w:r>
        <w:rPr>
          <w:rFonts w:hint="default" w:ascii="宋体" w:hAnsi="宋体" w:eastAsia="宋体" w:cs="宋体"/>
          <w:b/>
          <w:bCs/>
          <w:color w:val="auto"/>
          <w:spacing w:val="-1"/>
          <w:sz w:val="24"/>
          <w:szCs w:val="24"/>
          <w:highlight w:val="none"/>
        </w:rPr>
        <w:t xml:space="preserve">供应商在报价时</w:t>
      </w:r>
      <w:r>
        <w:rPr>
          <w:rFonts w:hint="eastAsia" w:ascii="宋体" w:hAnsi="宋体" w:cs="宋体"/>
          <w:b/>
          <w:bCs/>
          <w:color w:val="auto"/>
          <w:spacing w:val="-1"/>
          <w:sz w:val="24"/>
          <w:szCs w:val="24"/>
          <w:highlight w:val="none"/>
          <w:lang w:val="en-US" w:eastAsia="zh-CN"/>
        </w:rPr>
        <w:t xml:space="preserve">须</w:t>
      </w:r>
      <w:r>
        <w:rPr>
          <w:rFonts w:hint="default" w:ascii="宋体" w:hAnsi="宋体" w:eastAsia="宋体" w:cs="宋体"/>
          <w:b/>
          <w:bCs/>
          <w:color w:val="auto"/>
          <w:spacing w:val="-1"/>
          <w:sz w:val="24"/>
          <w:szCs w:val="24"/>
          <w:highlight w:val="none"/>
        </w:rPr>
        <w:t xml:space="preserve">将</w:t>
      </w:r>
      <w:r>
        <w:rPr>
          <w:rFonts w:hint="eastAsia" w:ascii="宋体" w:hAnsi="宋体" w:cs="宋体"/>
          <w:b/>
          <w:bCs/>
          <w:color w:val="auto"/>
          <w:spacing w:val="-1"/>
          <w:sz w:val="24"/>
          <w:szCs w:val="24"/>
          <w:highlight w:val="none"/>
          <w:lang w:val="en-US" w:eastAsia="zh-CN"/>
        </w:rPr>
        <w:t xml:space="preserve">上述</w:t>
      </w:r>
      <w:r>
        <w:rPr>
          <w:rFonts w:hint="default" w:ascii="宋体" w:hAnsi="宋体" w:eastAsia="宋体" w:cs="宋体"/>
          <w:b/>
          <w:bCs/>
          <w:color w:val="auto"/>
          <w:spacing w:val="-1"/>
          <w:sz w:val="24"/>
          <w:szCs w:val="24"/>
          <w:highlight w:val="none"/>
        </w:rPr>
        <w:t xml:space="preserve">费用计入报价金额</w:t>
      </w:r>
      <w:r>
        <w:rPr>
          <w:rFonts w:hint="eastAsia" w:ascii="宋体" w:hAnsi="宋体" w:cs="宋体"/>
          <w:b/>
          <w:bCs/>
          <w:color w:val="auto"/>
          <w:spacing w:val="-1"/>
          <w:sz w:val="24"/>
          <w:szCs w:val="24"/>
          <w:highlight w:val="none"/>
          <w:lang w:eastAsia="zh-CN"/>
        </w:rPr>
        <w:t xml:space="preserve">，</w:t>
      </w:r>
      <w:r>
        <w:rPr>
          <w:rFonts w:hint="default" w:ascii="宋体" w:hAnsi="宋体" w:eastAsia="宋体" w:cs="宋体"/>
          <w:b/>
          <w:bCs/>
          <w:color w:val="auto"/>
          <w:spacing w:val="-3"/>
          <w:sz w:val="24"/>
          <w:szCs w:val="24"/>
          <w:highlight w:val="none"/>
        </w:rPr>
        <w:t xml:space="preserve">投标时须提供承诺书（格式自拟），否则按</w:t>
      </w:r>
      <w:r>
        <w:rPr>
          <w:rFonts w:hint="eastAsia" w:ascii="宋体" w:hAnsi="宋体" w:cs="宋体"/>
          <w:b/>
          <w:bCs/>
          <w:color w:val="auto"/>
          <w:spacing w:val="-3"/>
          <w:sz w:val="24"/>
          <w:szCs w:val="24"/>
          <w:highlight w:val="none"/>
          <w:lang w:eastAsia="zh-CN"/>
        </w:rPr>
        <w:t xml:space="preserve">无效响应文件</w:t>
      </w:r>
      <w:r>
        <w:rPr>
          <w:rFonts w:hint="default" w:ascii="宋体" w:hAnsi="宋体" w:eastAsia="宋体" w:cs="宋体"/>
          <w:b/>
          <w:bCs/>
          <w:color w:val="auto"/>
          <w:spacing w:val="-3"/>
          <w:sz w:val="24"/>
          <w:szCs w:val="24"/>
          <w:highlight w:val="none"/>
        </w:rPr>
        <w:t xml:space="preserve">处理。</w:t>
      </w:r>
      <w:r/>
    </w:p>
    <w:p>
      <w:pPr>
        <w:ind w:right="0" w:firstLine="482"/>
        <w:keepLines w:val="0"/>
        <w:keepNext w:val="0"/>
        <w:pageBreakBefore w:val="0"/>
        <w:spacing w:line="360" w:lineRule="auto"/>
        <w:widowControl w:val="off"/>
        <w:tabs>
          <w:tab w:val="left" w:pos="502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5</w:t>
      </w:r>
      <w:r>
        <w:rPr>
          <w:rFonts w:hint="eastAsia" w:ascii="宋体" w:hAnsi="宋体" w:eastAsia="宋体" w:cs="宋体"/>
          <w:color w:val="auto"/>
          <w:spacing w:val="2"/>
          <w:sz w:val="24"/>
          <w:szCs w:val="24"/>
          <w:highlight w:val="none"/>
        </w:rPr>
        <w:t xml:space="preserve">）现有绿地内的苗木发生缺失或死亡，由承包人按同品种同规格赔偿并包栽包活管理1年。由于自然灾害和不可抗力原因造成的苗木缺损，由承包人向天目湖镇人民政府提出书面申请，经天目湖镇人民政府组织有关人员现场核实后再做处理决定</w:t>
      </w:r>
      <w:r>
        <w:rPr>
          <w:rFonts w:hint="eastAsia" w:ascii="宋体" w:hAnsi="宋体" w:eastAsia="宋体" w:cs="宋体"/>
          <w:b/>
          <w:bCs/>
          <w:color w:val="auto"/>
          <w:spacing w:val="2"/>
          <w:sz w:val="24"/>
          <w:szCs w:val="24"/>
          <w:highlight w:val="none"/>
        </w:rPr>
        <w:t xml:space="preserve">。</w:t>
      </w:r>
      <w:r>
        <w:rPr>
          <w:rFonts w:hint="eastAsia" w:ascii="宋体" w:hAnsi="宋体" w:cs="宋体"/>
          <w:b/>
          <w:bCs/>
          <w:color w:val="auto"/>
          <w:spacing w:val="2"/>
          <w:sz w:val="24"/>
          <w:szCs w:val="24"/>
          <w:highlight w:val="none"/>
          <w:lang w:val="en-US" w:eastAsia="zh-CN"/>
        </w:rPr>
        <w:t xml:space="preserve">须</w:t>
      </w:r>
      <w:r>
        <w:rPr>
          <w:rFonts w:hint="eastAsia" w:ascii="宋体" w:hAnsi="宋体" w:eastAsia="宋体" w:cs="宋体"/>
          <w:b/>
          <w:bCs/>
          <w:color w:val="auto"/>
          <w:spacing w:val="2"/>
          <w:sz w:val="24"/>
          <w:szCs w:val="24"/>
          <w:highlight w:val="none"/>
        </w:rPr>
        <w:t xml:space="preserve">提供承诺书，否则按无效</w:t>
      </w:r>
      <w:r>
        <w:rPr>
          <w:rFonts w:hint="eastAsia" w:ascii="宋体" w:hAnsi="宋体" w:cs="宋体"/>
          <w:b/>
          <w:bCs/>
          <w:color w:val="auto"/>
          <w:spacing w:val="2"/>
          <w:sz w:val="24"/>
          <w:szCs w:val="24"/>
          <w:highlight w:val="none"/>
          <w:lang w:val="en-US" w:eastAsia="zh-CN"/>
        </w:rPr>
        <w:t xml:space="preserve">响应文件</w:t>
      </w:r>
      <w:r>
        <w:rPr>
          <w:rFonts w:hint="eastAsia" w:ascii="宋体" w:hAnsi="宋体" w:eastAsia="宋体" w:cs="宋体"/>
          <w:b/>
          <w:bCs/>
          <w:color w:val="auto"/>
          <w:spacing w:val="2"/>
          <w:sz w:val="24"/>
          <w:szCs w:val="24"/>
          <w:highlight w:val="none"/>
        </w:rPr>
        <w:t xml:space="preserve">处理。</w:t>
      </w:r>
      <w:r/>
    </w:p>
    <w:p>
      <w:pPr>
        <w:pStyle w:val="770"/>
        <w:ind w:right="0"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b/>
          <w:bCs/>
          <w:color w:val="auto"/>
          <w:spacing w:val="2"/>
          <w:sz w:val="24"/>
          <w:szCs w:val="24"/>
          <w:highlight w:val="none"/>
          <w:lang w:val="en-US" w:eastAsia="zh-CN"/>
        </w:rPr>
        <w:t xml:space="preserve">（6）草花采购、种植、养护（含平桥花箱285组）要求：该项费用按75.33万元计取。此报价为不可竞争</w:t>
      </w:r>
      <w:r>
        <w:rPr>
          <w:rFonts w:hint="eastAsia" w:ascii="宋体" w:hAnsi="宋体" w:eastAsia="宋体" w:cs="宋体"/>
          <w:b/>
          <w:bCs/>
          <w:color w:val="auto"/>
          <w:spacing w:val="2"/>
          <w:sz w:val="24"/>
          <w:szCs w:val="24"/>
          <w:highlight w:val="none"/>
          <w:lang w:val="en-US" w:eastAsia="zh-CN" w:bidi="ar-SA"/>
        </w:rPr>
        <w:t xml:space="preserve">费用，</w:t>
      </w:r>
      <w:r>
        <w:rPr>
          <w:rFonts w:hint="default" w:ascii="宋体" w:hAnsi="宋体" w:eastAsia="宋体" w:cs="宋体"/>
          <w:b/>
          <w:bCs/>
          <w:color w:val="auto"/>
          <w:spacing w:val="-1"/>
          <w:sz w:val="24"/>
          <w:szCs w:val="24"/>
          <w:highlight w:val="none"/>
        </w:rPr>
        <w:t xml:space="preserve">供应商在报价时</w:t>
      </w:r>
      <w:r>
        <w:rPr>
          <w:rFonts w:hint="eastAsia" w:ascii="宋体" w:hAnsi="宋体" w:eastAsia="宋体" w:cs="宋体"/>
          <w:b/>
          <w:bCs/>
          <w:color w:val="auto"/>
          <w:spacing w:val="-1"/>
          <w:sz w:val="24"/>
          <w:szCs w:val="24"/>
          <w:highlight w:val="none"/>
          <w:lang w:val="en-US" w:eastAsia="zh-CN"/>
        </w:rPr>
        <w:t xml:space="preserve">须</w:t>
      </w:r>
      <w:r>
        <w:rPr>
          <w:rFonts w:hint="default" w:ascii="宋体" w:hAnsi="宋体" w:eastAsia="宋体" w:cs="宋体"/>
          <w:b/>
          <w:bCs/>
          <w:color w:val="auto"/>
          <w:spacing w:val="-1"/>
          <w:sz w:val="24"/>
          <w:szCs w:val="24"/>
          <w:highlight w:val="none"/>
        </w:rPr>
        <w:t xml:space="preserve">将</w:t>
      </w:r>
      <w:r>
        <w:rPr>
          <w:rFonts w:hint="eastAsia" w:ascii="宋体" w:hAnsi="宋体" w:eastAsia="宋体" w:cs="宋体"/>
          <w:b/>
          <w:bCs/>
          <w:color w:val="auto"/>
          <w:spacing w:val="-1"/>
          <w:sz w:val="24"/>
          <w:szCs w:val="24"/>
          <w:highlight w:val="none"/>
          <w:lang w:val="en-US" w:eastAsia="zh-CN"/>
        </w:rPr>
        <w:t xml:space="preserve">该项</w:t>
      </w:r>
      <w:r>
        <w:rPr>
          <w:rFonts w:hint="default" w:ascii="宋体" w:hAnsi="宋体" w:eastAsia="宋体" w:cs="宋体"/>
          <w:b/>
          <w:bCs/>
          <w:color w:val="auto"/>
          <w:spacing w:val="-1"/>
          <w:sz w:val="24"/>
          <w:szCs w:val="24"/>
          <w:highlight w:val="none"/>
        </w:rPr>
        <w:t xml:space="preserve">费用计入报价金额</w:t>
      </w:r>
      <w:r>
        <w:rPr>
          <w:rFonts w:hint="eastAsia" w:ascii="宋体" w:hAnsi="宋体" w:eastAsia="宋体" w:cs="宋体"/>
          <w:b/>
          <w:bCs/>
          <w:color w:val="auto"/>
          <w:spacing w:val="2"/>
          <w:sz w:val="24"/>
          <w:szCs w:val="24"/>
          <w:highlight w:val="none"/>
          <w:lang w:val="en-US" w:eastAsia="zh-CN"/>
        </w:rPr>
        <w:t xml:space="preserve">，供应商不得改变此报价，否则作无效响应文件处理。若管养期内该项作业量减少，结算时由双方协商扣除相应款项。</w:t>
      </w:r>
      <w:r/>
    </w:p>
    <w:p>
      <w:pPr>
        <w:pStyle w:val="770"/>
        <w:ind w:right="0" w:firstLine="488"/>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其中：</w:t>
      </w:r>
      <w:r/>
    </w:p>
    <w:p>
      <w:pPr>
        <w:pStyle w:val="770"/>
        <w:ind w:right="0" w:firstLine="488"/>
        <w:keepLines w:val="0"/>
        <w:keepNext w:val="0"/>
        <w:pageBreakBefore w:val="0"/>
        <w:spacing w:line="36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eastAsia="zh-CN"/>
        </w:rPr>
        <w:t xml:space="preserve">花箱养护要求：</w:t>
      </w:r>
      <w:r>
        <w:rPr>
          <w:rFonts w:hint="eastAsia" w:ascii="宋体" w:hAnsi="宋体" w:eastAsia="宋体" w:cs="宋体"/>
          <w:color w:val="auto"/>
          <w:spacing w:val="2"/>
          <w:sz w:val="24"/>
          <w:szCs w:val="24"/>
          <w:highlight w:val="none"/>
          <w:lang w:val="en-US" w:eastAsia="zh-CN"/>
        </w:rPr>
        <w:t xml:space="preserve">①品种选择合理，色泽艳丽，适合当地气候要求；季节色彩有明显变化。②合理确定密植度，满栽，郁闭度90%以上。③每平米不少于100盆花，一年分为三季，需分别于4月30日、9月30日、12月30日前种植结束。④具体草花品种在种植前须由采购人确定。</w:t>
      </w:r>
      <w:r/>
    </w:p>
    <w:p>
      <w:pPr>
        <w:pStyle w:val="770"/>
        <w:ind w:right="0" w:firstLine="488"/>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其他草花种植要求：①草花种植方案、图案需要得到甲方确认，且严格按图施工。②品种选择合理，色泽艳丽。季节色彩有明显变化。③合理确定密植度，满栽，郁闭度90%以上。④每平米不少于100盆花，一年分为三季，需分别于4月30日、9月30日、12月30日前种植结束。⑤品种：4月30日前：熏衣草、千日红、四季海棠 、玛格丽特、鼠尾草等。 9月30日前：一串红、孔美女樱、常夏石竹、五星花、夏堇、孔雀草，瓜叶菊等。12月30日前:三色堇、报春花、矾根、银叶菊、繁星花、角堇、微月季、紫罗兰等。具体草花品种由采购人确定。</w:t>
      </w:r>
      <w:r/>
    </w:p>
    <w:p>
      <w:pPr>
        <w:pStyle w:val="770"/>
        <w:ind w:right="0" w:firstLine="488"/>
        <w:keepLines w:val="0"/>
        <w:keepNext w:val="0"/>
        <w:pageBreakBefore w:val="0"/>
        <w:spacing w:line="36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3、成交供应商在草花采购前必须列表提交采购人同意后方可采购，草花采购后须经采购人验收后方可种植。</w:t>
      </w:r>
      <w:r/>
    </w:p>
    <w:p>
      <w:pPr>
        <w:contextualSpacing/>
        <w:ind w:right="0" w:firstLine="488"/>
        <w:keepLines w:val="0"/>
        <w:keepNext w:val="0"/>
        <w:pageBreakBefore w:val="0"/>
        <w:spacing w:line="360" w:lineRule="auto"/>
        <w:widowControl w:val="off"/>
        <w:rPr>
          <w:rFonts w:hint="default"/>
          <w:color w:val="auto"/>
          <w:highlight w:val="none"/>
          <w:lang w:val="en-US"/>
        </w:rPr>
      </w:pPr>
      <w:r>
        <w:rPr>
          <w:rFonts w:hint="eastAsia" w:ascii="宋体" w:hAnsi="宋体" w:eastAsia="宋体" w:cs="宋体"/>
          <w:color w:val="auto"/>
          <w:spacing w:val="2"/>
          <w:sz w:val="24"/>
          <w:szCs w:val="24"/>
          <w:highlight w:val="none"/>
        </w:rPr>
        <w:t xml:space="preserve">★</w:t>
      </w:r>
      <w:r>
        <w:rPr>
          <w:rFonts w:hint="eastAsia" w:ascii="宋体" w:hAnsi="宋体" w:cs="宋体"/>
          <w:b/>
          <w:bCs/>
          <w:color w:val="auto"/>
          <w:spacing w:val="2"/>
          <w:sz w:val="24"/>
          <w:szCs w:val="24"/>
          <w:highlight w:val="none"/>
          <w:lang w:val="en-US" w:eastAsia="zh-CN"/>
        </w:rPr>
        <w:t xml:space="preserve">供应商</w:t>
      </w:r>
      <w:r>
        <w:rPr>
          <w:rFonts w:hint="eastAsia" w:ascii="宋体" w:hAnsi="宋体" w:eastAsia="宋体" w:cs="宋体"/>
          <w:b/>
          <w:bCs/>
          <w:color w:val="auto"/>
          <w:spacing w:val="2"/>
          <w:sz w:val="24"/>
          <w:szCs w:val="24"/>
          <w:highlight w:val="none"/>
        </w:rPr>
        <w:t xml:space="preserve">必须承诺一旦</w:t>
      </w:r>
      <w:r>
        <w:rPr>
          <w:rFonts w:hint="eastAsia" w:ascii="宋体" w:hAnsi="宋体" w:cs="宋体"/>
          <w:b/>
          <w:bCs/>
          <w:color w:val="auto"/>
          <w:spacing w:val="2"/>
          <w:sz w:val="24"/>
          <w:szCs w:val="24"/>
          <w:highlight w:val="none"/>
          <w:lang w:val="en-US" w:eastAsia="zh-CN"/>
        </w:rPr>
        <w:t xml:space="preserve">成交</w:t>
      </w:r>
      <w:r>
        <w:rPr>
          <w:rFonts w:hint="eastAsia" w:ascii="宋体" w:hAnsi="宋体" w:eastAsia="宋体" w:cs="宋体"/>
          <w:b/>
          <w:bCs/>
          <w:color w:val="auto"/>
          <w:spacing w:val="2"/>
          <w:sz w:val="24"/>
          <w:szCs w:val="24"/>
          <w:highlight w:val="none"/>
        </w:rPr>
        <w:t xml:space="preserve">，必须在成交通知书发出后7个工作日内在天目湖镇设有固定的办公经营场所，能够满足办公、仓储等要求，提供相关产权证明或租赁合同等材料。否则，采购人有权取消其</w:t>
      </w:r>
      <w:r>
        <w:rPr>
          <w:rFonts w:hint="eastAsia" w:ascii="宋体" w:hAnsi="宋体" w:cs="宋体"/>
          <w:b/>
          <w:bCs/>
          <w:color w:val="auto"/>
          <w:spacing w:val="2"/>
          <w:sz w:val="24"/>
          <w:szCs w:val="24"/>
          <w:highlight w:val="none"/>
          <w:lang w:val="en-US" w:eastAsia="zh-CN"/>
        </w:rPr>
        <w:t xml:space="preserve">成交</w:t>
      </w:r>
      <w:r>
        <w:rPr>
          <w:rFonts w:hint="eastAsia" w:ascii="宋体" w:hAnsi="宋体" w:eastAsia="宋体" w:cs="宋体"/>
          <w:b/>
          <w:bCs/>
          <w:color w:val="auto"/>
          <w:spacing w:val="2"/>
          <w:sz w:val="24"/>
          <w:szCs w:val="24"/>
          <w:highlight w:val="none"/>
        </w:rPr>
        <w:t xml:space="preserve">资格。</w:t>
      </w:r>
      <w:r>
        <w:rPr>
          <w:rFonts w:hint="eastAsia" w:ascii="宋体" w:hAnsi="宋体" w:cs="宋体"/>
          <w:b/>
          <w:bCs/>
          <w:color w:val="auto"/>
          <w:spacing w:val="2"/>
          <w:sz w:val="24"/>
          <w:szCs w:val="24"/>
          <w:highlight w:val="none"/>
          <w:lang w:val="en-US" w:eastAsia="zh-CN"/>
        </w:rPr>
        <w:t xml:space="preserve">须提供承诺书（格式自拟），否则作</w:t>
      </w:r>
      <w:r>
        <w:rPr>
          <w:rFonts w:hint="eastAsia" w:ascii="宋体" w:hAnsi="宋体" w:eastAsia="宋体" w:cs="宋体"/>
          <w:b/>
          <w:bCs/>
          <w:color w:val="auto"/>
          <w:spacing w:val="2"/>
          <w:sz w:val="24"/>
          <w:szCs w:val="24"/>
          <w:highlight w:val="none"/>
        </w:rPr>
        <w:t xml:space="preserve">无效</w:t>
      </w:r>
      <w:r>
        <w:rPr>
          <w:rFonts w:hint="eastAsia" w:ascii="宋体" w:hAnsi="宋体" w:cs="宋体"/>
          <w:b/>
          <w:bCs/>
          <w:color w:val="auto"/>
          <w:spacing w:val="2"/>
          <w:sz w:val="24"/>
          <w:szCs w:val="24"/>
          <w:highlight w:val="none"/>
          <w:lang w:val="en-US" w:eastAsia="zh-CN"/>
        </w:rPr>
        <w:t xml:space="preserve">响应文件</w:t>
      </w:r>
      <w:r>
        <w:rPr>
          <w:rFonts w:hint="eastAsia" w:ascii="宋体" w:hAnsi="宋体" w:eastAsia="宋体" w:cs="宋体"/>
          <w:b/>
          <w:bCs/>
          <w:color w:val="auto"/>
          <w:spacing w:val="2"/>
          <w:sz w:val="24"/>
          <w:szCs w:val="24"/>
          <w:highlight w:val="none"/>
        </w:rPr>
        <w:t xml:space="preserve">处理。</w:t>
      </w:r>
      <w:r/>
    </w:p>
    <w:p>
      <w:pPr>
        <w:pStyle w:val="1069"/>
        <w:numPr>
          <w:ilvl w:val="0"/>
          <w:numId w:val="0"/>
        </w:numPr>
        <w:contextualSpacing/>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四、其他</w:t>
      </w:r>
      <w:r>
        <w:rPr>
          <w:rFonts w:hint="eastAsia" w:ascii="宋体" w:hAnsi="宋体" w:cs="宋体"/>
          <w:b/>
          <w:color w:val="auto"/>
          <w:sz w:val="24"/>
          <w:szCs w:val="24"/>
          <w:highlight w:val="none"/>
        </w:rPr>
        <w:t xml:space="preserve">要求</w:t>
      </w:r>
      <w:r/>
    </w:p>
    <w:p>
      <w:pPr>
        <w:numPr>
          <w:ilvl w:val="0"/>
          <w:numId w:val="0"/>
        </w:numPr>
        <w:ind w:firstLine="480"/>
        <w:jc w:val="both"/>
        <w:keepLines w:val="0"/>
        <w:keepNext w:val="0"/>
        <w:pageBreakBefore w:val="0"/>
        <w:spacing w:line="360" w:lineRule="auto"/>
        <w:widowControl w:val="off"/>
        <w:rPr>
          <w:rFonts w:hint="eastAsia" w:ascii="Times New Roman" w:hAnsi="Times New Roman" w:eastAsia="宋体" w:cs="Times New Roman"/>
          <w:color w:val="auto"/>
          <w:highlight w:val="none"/>
          <w:lang w:val="en-US" w:eastAsia="zh-CN"/>
        </w:rPr>
      </w:pPr>
      <w:r>
        <w:rPr>
          <w:rFonts w:hint="eastAsia"/>
          <w:color w:val="auto"/>
          <w:sz w:val="24"/>
          <w:szCs w:val="24"/>
          <w:highlight w:val="none"/>
          <w:lang w:val="en-US" w:eastAsia="zh-CN"/>
        </w:rPr>
        <w:t xml:space="preserve">4.1、</w:t>
      </w:r>
      <w:r>
        <w:rPr>
          <w:rFonts w:hint="eastAsia" w:ascii="Times New Roman" w:hAnsi="Times New Roman" w:eastAsia="宋体" w:cs="Times New Roman"/>
          <w:b w:val="0"/>
          <w:bCs w:val="0"/>
          <w:color w:val="auto"/>
          <w:sz w:val="24"/>
          <w:szCs w:val="24"/>
          <w:highlight w:val="none"/>
          <w:lang w:val="en-US" w:eastAsia="zh-CN" w:bidi="ar-SA"/>
        </w:rPr>
        <w:t xml:space="preserve">供应商应为本项目提供详细的</w:t>
      </w:r>
      <w:r>
        <w:rPr>
          <w:rFonts w:hint="eastAsia" w:ascii="Times New Roman" w:hAnsi="Times New Roman" w:cs="Times New Roman"/>
          <w:b w:val="0"/>
          <w:bCs w:val="0"/>
          <w:color w:val="auto"/>
          <w:sz w:val="24"/>
          <w:szCs w:val="24"/>
          <w:highlight w:val="none"/>
          <w:lang w:val="en-US" w:eastAsia="zh-CN" w:bidi="ar-SA"/>
        </w:rPr>
        <w:t xml:space="preserve">实施</w:t>
      </w:r>
      <w:r>
        <w:rPr>
          <w:rFonts w:hint="eastAsia" w:ascii="Times New Roman" w:hAnsi="Times New Roman" w:eastAsia="宋体" w:cs="Times New Roman"/>
          <w:b w:val="0"/>
          <w:bCs w:val="0"/>
          <w:color w:val="auto"/>
          <w:sz w:val="24"/>
          <w:szCs w:val="24"/>
          <w:highlight w:val="none"/>
          <w:lang w:val="en-US" w:eastAsia="zh-CN" w:bidi="ar-SA"/>
        </w:rPr>
        <w:t xml:space="preserve">方案，后期实施过程严格按照方案内容执行，实际过程中若有相应调整，及时同采购人协商修订相关方案，内容含：</w:t>
      </w:r>
      <w:r>
        <w:rPr>
          <w:rFonts w:hint="eastAsia" w:ascii="Times New Roman" w:hAnsi="Times New Roman" w:eastAsia="宋体" w:cs="Times New Roman"/>
          <w:color w:val="auto"/>
          <w:sz w:val="24"/>
          <w:highlight w:val="none"/>
          <w:lang w:val="en-US" w:eastAsia="zh-CN"/>
        </w:rPr>
        <w:t xml:space="preserve">管理制度</w:t>
      </w:r>
      <w:r>
        <w:rPr>
          <w:rFonts w:hint="eastAsia" w:ascii="Times New Roman" w:hAnsi="Times New Roman" w:eastAsia="宋体" w:cs="Times New Roman"/>
          <w:b w:val="0"/>
          <w:bCs w:val="0"/>
          <w:color w:val="auto"/>
          <w:sz w:val="24"/>
          <w:szCs w:val="24"/>
          <w:highlight w:val="none"/>
          <w:lang w:val="en-US" w:eastAsia="zh-CN" w:bidi="ar-SA"/>
        </w:rPr>
        <w:t xml:space="preserve">（</w:t>
      </w:r>
      <w:r>
        <w:rPr>
          <w:rFonts w:hint="eastAsia" w:ascii="宋体" w:hAnsi="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请销假制度</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②服务质量</w:t>
      </w:r>
      <w:r>
        <w:rPr>
          <w:rFonts w:hint="eastAsia" w:ascii="宋体" w:hAnsi="宋体" w:eastAsia="宋体" w:cs="Times New Roman"/>
          <w:color w:val="auto"/>
          <w:sz w:val="24"/>
          <w:highlight w:val="none"/>
        </w:rPr>
        <w:t xml:space="preserve">管理</w:t>
      </w:r>
      <w:r>
        <w:rPr>
          <w:rFonts w:hint="eastAsia" w:ascii="宋体" w:hAnsi="宋体" w:cs="Times New Roman"/>
          <w:color w:val="auto"/>
          <w:sz w:val="24"/>
          <w:highlight w:val="none"/>
          <w:lang w:val="en-US" w:eastAsia="zh-CN"/>
        </w:rPr>
        <w:t xml:space="preserve">制度及职业健康安全管理</w:t>
      </w:r>
      <w:r>
        <w:rPr>
          <w:rFonts w:hint="eastAsia" w:ascii="宋体" w:hAnsi="宋体" w:eastAsia="宋体" w:cs="Times New Roman"/>
          <w:color w:val="auto"/>
          <w:sz w:val="24"/>
          <w:highlight w:val="none"/>
        </w:rPr>
        <w:t xml:space="preserve">制度</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③</w:t>
      </w:r>
      <w:r>
        <w:rPr>
          <w:rFonts w:hint="eastAsia" w:ascii="宋体" w:hAnsi="宋体" w:eastAsia="宋体" w:cs="Times New Roman"/>
          <w:color w:val="auto"/>
          <w:sz w:val="24"/>
          <w:highlight w:val="none"/>
        </w:rPr>
        <w:t xml:space="preserve">上下班考勤</w:t>
      </w:r>
      <w:r>
        <w:rPr>
          <w:rFonts w:hint="eastAsia" w:ascii="宋体" w:hAnsi="宋体" w:cs="Times New Roman"/>
          <w:color w:val="auto"/>
          <w:sz w:val="24"/>
          <w:highlight w:val="none"/>
          <w:lang w:val="en-US" w:eastAsia="zh-CN"/>
        </w:rPr>
        <w:t xml:space="preserve">及着装管理</w:t>
      </w:r>
      <w:r>
        <w:rPr>
          <w:rFonts w:hint="eastAsia" w:ascii="宋体" w:hAnsi="宋体" w:eastAsia="宋体" w:cs="Times New Roman"/>
          <w:color w:val="auto"/>
          <w:sz w:val="24"/>
          <w:highlight w:val="none"/>
        </w:rPr>
        <w:t xml:space="preserve">制度</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④</w:t>
      </w:r>
      <w:r>
        <w:rPr>
          <w:rFonts w:hint="eastAsia" w:ascii="宋体" w:hAnsi="宋体" w:eastAsia="宋体" w:cs="Times New Roman"/>
          <w:color w:val="auto"/>
          <w:sz w:val="24"/>
          <w:highlight w:val="none"/>
        </w:rPr>
        <w:t xml:space="preserve">人员罚惩制度</w:t>
      </w:r>
      <w:r>
        <w:rPr>
          <w:rFonts w:hint="eastAsia" w:ascii="Times New Roman" w:hAnsi="Times New Roman" w:eastAsia="宋体" w:cs="Times New Roman"/>
          <w:b w:val="0"/>
          <w:bCs w:val="0"/>
          <w:color w:val="auto"/>
          <w:sz w:val="24"/>
          <w:szCs w:val="24"/>
          <w:highlight w:val="none"/>
          <w:lang w:val="en-US" w:eastAsia="zh-CN" w:bidi="ar-SA"/>
        </w:rPr>
        <w:t xml:space="preserve">）、</w:t>
      </w:r>
      <w:r>
        <w:rPr>
          <w:rFonts w:hint="eastAsia" w:ascii="宋体" w:hAnsi="宋体" w:cs="宋体"/>
          <w:color w:val="auto"/>
          <w:sz w:val="24"/>
          <w:highlight w:val="none"/>
          <w:lang w:val="en-US" w:eastAsia="zh-CN"/>
        </w:rPr>
        <w:t xml:space="preserve">全年养护计划（</w:t>
      </w:r>
      <w:r>
        <w:rPr>
          <w:rFonts w:hint="eastAsia" w:ascii="宋体" w:hAnsi="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养护月历</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②</w:t>
      </w:r>
      <w:r>
        <w:rPr>
          <w:rFonts w:hint="eastAsia" w:ascii="宋体" w:hAnsi="宋体" w:eastAsia="宋体" w:cs="Times New Roman"/>
          <w:color w:val="auto"/>
          <w:sz w:val="24"/>
          <w:highlight w:val="none"/>
        </w:rPr>
        <w:t xml:space="preserve">四季养护实施计划与标准</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③</w:t>
      </w:r>
      <w:r>
        <w:rPr>
          <w:rFonts w:hint="eastAsia" w:ascii="宋体" w:hAnsi="宋体" w:eastAsia="宋体" w:cs="Times New Roman"/>
          <w:color w:val="auto"/>
          <w:sz w:val="24"/>
          <w:highlight w:val="none"/>
        </w:rPr>
        <w:t xml:space="preserve">不同天气下的养护计划分析</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④</w:t>
      </w:r>
      <w:r>
        <w:rPr>
          <w:rFonts w:hint="eastAsia" w:ascii="宋体" w:hAnsi="宋体" w:eastAsia="宋体" w:cs="Times New Roman"/>
          <w:color w:val="auto"/>
          <w:sz w:val="24"/>
          <w:highlight w:val="none"/>
        </w:rPr>
        <w:t xml:space="preserve">总体养护组织布置及规划</w:t>
      </w:r>
      <w:r>
        <w:rPr>
          <w:rFonts w:hint="eastAsia" w:ascii="宋体" w:hAnsi="宋体" w:cs="宋体"/>
          <w:color w:val="auto"/>
          <w:sz w:val="24"/>
          <w:highlight w:val="none"/>
          <w:lang w:val="en-US" w:eastAsia="zh-CN"/>
        </w:rPr>
        <w:t xml:space="preserve">）、病虫害防治方案（</w:t>
      </w:r>
      <w:r>
        <w:rPr>
          <w:rFonts w:hint="eastAsia" w:ascii="宋体" w:hAnsi="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食叶性害虫防治方案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②</w:t>
      </w:r>
      <w:r>
        <w:rPr>
          <w:rFonts w:hint="eastAsia" w:ascii="宋体" w:hAnsi="宋体" w:eastAsia="宋体" w:cs="Times New Roman"/>
          <w:color w:val="auto"/>
          <w:sz w:val="24"/>
          <w:highlight w:val="none"/>
        </w:rPr>
        <w:t xml:space="preserve">蛀干性害虫防治方案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③</w:t>
      </w:r>
      <w:r>
        <w:rPr>
          <w:rFonts w:hint="eastAsia" w:ascii="宋体" w:hAnsi="宋体" w:eastAsia="宋体" w:cs="Times New Roman"/>
          <w:color w:val="auto"/>
          <w:sz w:val="24"/>
          <w:highlight w:val="none"/>
        </w:rPr>
        <w:t xml:space="preserve">刺吸式害虫防治方案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④</w:t>
      </w:r>
      <w:r>
        <w:rPr>
          <w:rFonts w:hint="eastAsia" w:ascii="宋体" w:hAnsi="宋体" w:eastAsia="宋体" w:cs="Times New Roman"/>
          <w:color w:val="auto"/>
          <w:sz w:val="24"/>
          <w:highlight w:val="none"/>
        </w:rPr>
        <w:t xml:space="preserve">常见病害防治方案</w:t>
      </w:r>
      <w:r>
        <w:rPr>
          <w:rFonts w:hint="eastAsia" w:ascii="宋体" w:hAnsi="宋体" w:cs="宋体"/>
          <w:color w:val="auto"/>
          <w:sz w:val="24"/>
          <w:highlight w:val="none"/>
          <w:lang w:val="en-US" w:eastAsia="zh-CN"/>
        </w:rPr>
        <w:t xml:space="preserve">）、植物修剪方案（</w:t>
      </w:r>
      <w:r>
        <w:rPr>
          <w:rFonts w:hint="eastAsia" w:ascii="宋体" w:hAnsi="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大型乔木修剪方案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②</w:t>
      </w:r>
      <w:r>
        <w:rPr>
          <w:rFonts w:hint="eastAsia" w:ascii="宋体" w:hAnsi="宋体" w:eastAsia="宋体" w:cs="Times New Roman"/>
          <w:color w:val="auto"/>
          <w:sz w:val="24"/>
          <w:highlight w:val="none"/>
        </w:rPr>
        <w:t xml:space="preserve">绿篱色块修剪方案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③</w:t>
      </w:r>
      <w:r>
        <w:rPr>
          <w:rFonts w:hint="eastAsia" w:ascii="宋体" w:hAnsi="宋体" w:eastAsia="宋体" w:cs="Times New Roman"/>
          <w:color w:val="auto"/>
          <w:sz w:val="24"/>
          <w:highlight w:val="none"/>
        </w:rPr>
        <w:t xml:space="preserve">草坪修剪方案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④</w:t>
      </w:r>
      <w:r>
        <w:rPr>
          <w:rFonts w:hint="eastAsia" w:ascii="宋体" w:hAnsi="宋体" w:eastAsia="宋体" w:cs="Times New Roman"/>
          <w:color w:val="auto"/>
          <w:sz w:val="24"/>
          <w:highlight w:val="none"/>
        </w:rPr>
        <w:t xml:space="preserve">常见花灌木修剪方案</w:t>
      </w:r>
      <w:r>
        <w:rPr>
          <w:rFonts w:hint="eastAsia" w:ascii="宋体" w:hAnsi="宋体" w:cs="宋体"/>
          <w:color w:val="auto"/>
          <w:sz w:val="24"/>
          <w:highlight w:val="none"/>
          <w:lang w:val="en-US" w:eastAsia="zh-CN"/>
        </w:rPr>
        <w:t xml:space="preserve">）、</w:t>
      </w:r>
      <w:r>
        <w:rPr>
          <w:rFonts w:hint="eastAsia" w:ascii="宋体" w:hAnsi="宋体" w:eastAsia="宋体" w:cs="Times New Roman"/>
          <w:color w:val="auto"/>
          <w:sz w:val="24"/>
          <w:highlight w:val="none"/>
        </w:rPr>
        <w:t xml:space="preserve">极端天气和突发事件预案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抗旱保苗预案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②</w:t>
      </w:r>
      <w:r>
        <w:rPr>
          <w:rFonts w:hint="eastAsia" w:ascii="宋体" w:hAnsi="宋体" w:eastAsia="宋体" w:cs="Times New Roman"/>
          <w:color w:val="auto"/>
          <w:sz w:val="24"/>
          <w:highlight w:val="none"/>
        </w:rPr>
        <w:t xml:space="preserve">防台风应急预案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③</w:t>
      </w:r>
      <w:r>
        <w:rPr>
          <w:rFonts w:hint="eastAsia" w:ascii="宋体" w:hAnsi="宋体" w:eastAsia="宋体" w:cs="Times New Roman"/>
          <w:color w:val="auto"/>
          <w:sz w:val="24"/>
          <w:highlight w:val="none"/>
        </w:rPr>
        <w:t xml:space="preserve">防寒防冻应急预案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④</w:t>
      </w:r>
      <w:r>
        <w:rPr>
          <w:rFonts w:hint="eastAsia" w:ascii="宋体" w:hAnsi="宋体" w:eastAsia="宋体" w:cs="Times New Roman"/>
          <w:color w:val="auto"/>
          <w:sz w:val="24"/>
          <w:highlight w:val="none"/>
        </w:rPr>
        <w:t xml:space="preserve">排水防涝应急预案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⑤</w:t>
      </w:r>
      <w:r>
        <w:rPr>
          <w:rFonts w:hint="eastAsia" w:ascii="宋体" w:hAnsi="宋体" w:eastAsia="宋体" w:cs="Times New Roman"/>
          <w:color w:val="auto"/>
          <w:sz w:val="24"/>
          <w:highlight w:val="none"/>
        </w:rPr>
        <w:t xml:space="preserve">聚众上访事件应急预案</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安全文明保障方案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安全文明保障措施</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②</w:t>
      </w:r>
      <w:r>
        <w:rPr>
          <w:rFonts w:hint="eastAsia" w:ascii="宋体" w:hAnsi="宋体" w:eastAsia="宋体" w:cs="Times New Roman"/>
          <w:color w:val="auto"/>
          <w:sz w:val="24"/>
          <w:highlight w:val="none"/>
        </w:rPr>
        <w:t xml:space="preserve">作业安全管理措施</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③</w:t>
      </w:r>
      <w:r>
        <w:rPr>
          <w:rFonts w:hint="eastAsia" w:ascii="宋体" w:hAnsi="宋体" w:eastAsia="宋体" w:cs="Times New Roman"/>
          <w:color w:val="auto"/>
          <w:sz w:val="24"/>
          <w:highlight w:val="none"/>
        </w:rPr>
        <w:t xml:space="preserve">安全</w:t>
      </w:r>
      <w:r>
        <w:rPr>
          <w:rFonts w:hint="eastAsia" w:ascii="宋体" w:hAnsi="宋体" w:cs="Times New Roman"/>
          <w:color w:val="auto"/>
          <w:sz w:val="24"/>
          <w:highlight w:val="none"/>
          <w:lang w:val="en-US" w:eastAsia="zh-CN"/>
        </w:rPr>
        <w:t xml:space="preserve">人员配备及</w:t>
      </w:r>
      <w:r>
        <w:rPr>
          <w:rFonts w:hint="eastAsia" w:ascii="宋体" w:hAnsi="宋体" w:eastAsia="宋体" w:cs="Times New Roman"/>
          <w:color w:val="auto"/>
          <w:sz w:val="24"/>
          <w:highlight w:val="none"/>
        </w:rPr>
        <w:t xml:space="preserve">设施设备</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④</w:t>
      </w:r>
      <w:r>
        <w:rPr>
          <w:rFonts w:hint="eastAsia" w:ascii="宋体" w:hAnsi="宋体" w:eastAsia="宋体" w:cs="Times New Roman"/>
          <w:color w:val="auto"/>
          <w:sz w:val="24"/>
          <w:highlight w:val="none"/>
        </w:rPr>
        <w:t xml:space="preserve">安全检查记录</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⑤</w:t>
      </w:r>
      <w:r>
        <w:rPr>
          <w:rFonts w:hint="eastAsia" w:ascii="宋体" w:hAnsi="宋体" w:eastAsia="宋体" w:cs="Times New Roman"/>
          <w:color w:val="auto"/>
          <w:sz w:val="24"/>
          <w:highlight w:val="none"/>
        </w:rPr>
        <w:t xml:space="preserve">安全教育培训计划</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报价构成方案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报价构成内容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包含但不限于人工工资、五金、意外险、福利费、利润、税费等</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②</w:t>
      </w:r>
      <w:r>
        <w:rPr>
          <w:rFonts w:hint="eastAsia" w:ascii="宋体" w:hAnsi="宋体" w:eastAsia="宋体" w:cs="Times New Roman"/>
          <w:color w:val="auto"/>
          <w:sz w:val="24"/>
          <w:highlight w:val="none"/>
        </w:rPr>
        <w:t xml:space="preserve">报价组成依据</w:t>
      </w:r>
      <w:r>
        <w:rPr>
          <w:rFonts w:hint="eastAsia" w:ascii="宋体" w:hAnsi="宋体" w:cs="Times New Roman"/>
          <w:color w:val="auto"/>
          <w:sz w:val="24"/>
          <w:highlight w:val="none"/>
          <w:lang w:eastAsia="zh-CN"/>
        </w:rPr>
        <w:t xml:space="preserve">）</w:t>
      </w:r>
      <w:r/>
    </w:p>
    <w:p>
      <w:pPr>
        <w:numPr>
          <w:ilvl w:val="0"/>
          <w:numId w:val="0"/>
        </w:numPr>
        <w:contextualSpacing/>
        <w:ind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2.供应商应提供自身具有的与本项目工作内容相关的机具证明材料；</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3.供应商应提供企业实力相关材料（以往承接类似项目业绩材料、企业获得荣誉或者奖项材料）；</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4.供应商应提供为保障本项目实施所需人员的证明材料。</w:t>
      </w:r>
      <w:r/>
    </w:p>
    <w:p>
      <w:pPr>
        <w:contextualSpacing/>
        <w:ind w:firstLine="482"/>
        <w:jc w:val="both"/>
        <w:keepLines w:val="0"/>
        <w:keepNext w:val="0"/>
        <w:pageBreakBefore w:val="0"/>
        <w:spacing w:line="360" w:lineRule="auto"/>
        <w:widowControl w:val="off"/>
        <w:rPr>
          <w:rFonts w:hint="default" w:ascii="Times New Roman" w:hAnsi="Times New Roman" w:eastAsia="宋体"/>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bidi="ar-SA"/>
        </w:rPr>
        <w:t xml:space="preserve">注：上述内容无需在《偏离表》中标明是否偏离。</w:t>
      </w:r>
      <w:r/>
    </w:p>
    <w:p>
      <w:pPr>
        <w:pStyle w:val="1069"/>
        <w:contextualSpacing/>
        <w:ind w:firstLine="480"/>
        <w:jc w:val="both"/>
        <w:keepLines w:val="0"/>
        <w:keepNext w:val="0"/>
        <w:pageBreakBefore w:val="0"/>
        <w:spacing w:line="360" w:lineRule="auto"/>
        <w:widowControl w:val="off"/>
        <w:rPr>
          <w:rFonts w:hint="eastAsia"/>
          <w:b/>
          <w:bCs/>
          <w:color w:val="auto"/>
          <w:sz w:val="24"/>
          <w:szCs w:val="24"/>
          <w:highlight w:val="none"/>
        </w:rPr>
      </w:pPr>
      <w:r>
        <w:rPr>
          <w:rFonts w:hint="eastAsia" w:ascii="Times New Roman" w:hAnsi="Times New Roman"/>
          <w:color w:val="auto"/>
          <w:sz w:val="24"/>
          <w:szCs w:val="24"/>
          <w:highlight w:val="none"/>
          <w:lang w:val="en-US" w:eastAsia="zh-CN"/>
        </w:rPr>
        <w:t xml:space="preserve">4.2、</w:t>
      </w:r>
      <w:r>
        <w:rPr>
          <w:rFonts w:hint="eastAsia" w:ascii="Times New Roman" w:hAnsi="Times New Roman"/>
          <w:color w:val="auto"/>
          <w:sz w:val="24"/>
          <w:szCs w:val="24"/>
          <w:highlight w:val="none"/>
        </w:rPr>
        <w:t xml:space="preserve">按照《政府采购促进中小企业发展管理办法》（财库</w:t>
      </w:r>
      <w:r>
        <w:rPr>
          <w:rFonts w:ascii="Times New Roman" w:hAnsi="Times New Roman"/>
          <w:color w:val="auto"/>
          <w:sz w:val="24"/>
          <w:szCs w:val="24"/>
          <w:highlight w:val="none"/>
        </w:rPr>
        <w:t xml:space="preserve">〔20</w:t>
      </w:r>
      <w:r>
        <w:rPr>
          <w:rFonts w:hint="eastAsia" w:ascii="Times New Roman" w:hAnsi="Times New Roman"/>
          <w:color w:val="auto"/>
          <w:sz w:val="24"/>
          <w:szCs w:val="24"/>
          <w:highlight w:val="none"/>
        </w:rPr>
        <w:t xml:space="preserve">20</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46</w:t>
      </w:r>
      <w:r>
        <w:rPr>
          <w:rFonts w:ascii="Times New Roman" w:hAnsi="Times New Roman"/>
          <w:color w:val="auto"/>
          <w:sz w:val="24"/>
          <w:szCs w:val="24"/>
          <w:highlight w:val="none"/>
        </w:rPr>
        <w:t xml:space="preserve">号</w:t>
      </w:r>
      <w:r>
        <w:rPr>
          <w:rFonts w:hint="eastAsia" w:ascii="Times New Roman" w:hAnsi="Times New Roman"/>
          <w:color w:val="auto"/>
          <w:sz w:val="24"/>
          <w:szCs w:val="24"/>
          <w:highlight w:val="none"/>
        </w:rPr>
        <w:t xml:space="preserve">）的相关要</w:t>
      </w:r>
      <w:r>
        <w:rPr>
          <w:rFonts w:hint="eastAsia" w:ascii="Times New Roman" w:hAnsi="Times New Roman"/>
          <w:b w:val="0"/>
          <w:bCs w:val="0"/>
          <w:color w:val="auto"/>
          <w:sz w:val="24"/>
          <w:szCs w:val="24"/>
          <w:highlight w:val="none"/>
        </w:rPr>
        <w:t xml:space="preserve">求，采购人应当面向中小企业预留采购份额，本项目面向中小企业预留份额</w:t>
      </w:r>
      <w:r>
        <w:rPr>
          <w:rFonts w:hint="eastAsia" w:ascii="宋体" w:hAnsi="宋体"/>
          <w:b w:val="0"/>
          <w:bCs w:val="0"/>
          <w:color w:val="auto"/>
          <w:sz w:val="24"/>
          <w:szCs w:val="24"/>
          <w:highlight w:val="none"/>
          <w:u w:val="single"/>
        </w:rPr>
        <w:t xml:space="preserve">100</w:t>
      </w:r>
      <w:r>
        <w:rPr>
          <w:rFonts w:hint="eastAsia" w:ascii="Times New Roman" w:hAnsi="Times New Roman"/>
          <w:b w:val="0"/>
          <w:bCs w:val="0"/>
          <w:color w:val="auto"/>
          <w:sz w:val="24"/>
          <w:szCs w:val="24"/>
          <w:highlight w:val="none"/>
        </w:rPr>
        <w:t xml:space="preserve"> %。</w:t>
      </w:r>
      <w:r/>
    </w:p>
    <w:p>
      <w:pPr>
        <w:ind w:left="0" w:right="0" w:firstLine="482"/>
        <w:jc w:val="both"/>
        <w:keepLines w:val="0"/>
        <w:keepNext w:val="0"/>
        <w:pageBreakBefore w:val="0"/>
        <w:spacing w:before="0" w:after="0"/>
        <w:widowControl w:val="off"/>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4.3、</w:t>
      </w:r>
      <w:r>
        <w:rPr>
          <w:rFonts w:ascii="宋体" w:hAnsi="宋体" w:eastAsia="宋体" w:cs="宋体"/>
          <w:b/>
          <w:color w:val="auto"/>
          <w:sz w:val="24"/>
          <w:highlight w:val="none"/>
        </w:rPr>
        <w:t xml:space="preserve">成交供应商需在成交后提供纸质版投标文件</w:t>
      </w:r>
      <w:r>
        <w:rPr>
          <w:rFonts w:ascii="Times New Roman" w:hAnsi="Times New Roman" w:eastAsia="Times New Roman" w:cs="Times New Roman"/>
          <w:b/>
          <w:color w:val="auto"/>
          <w:sz w:val="24"/>
          <w:highlight w:val="none"/>
        </w:rPr>
        <w:t xml:space="preserve">1</w:t>
      </w:r>
      <w:r>
        <w:rPr>
          <w:rFonts w:ascii="宋体" w:hAnsi="宋体" w:eastAsia="宋体" w:cs="宋体"/>
          <w:b/>
          <w:color w:val="auto"/>
          <w:sz w:val="24"/>
          <w:highlight w:val="none"/>
        </w:rPr>
        <w:t xml:space="preserve">份，纸质版最终报价分项报价表</w:t>
      </w:r>
      <w:r>
        <w:rPr>
          <w:rFonts w:ascii="Times New Roman" w:hAnsi="Times New Roman" w:eastAsia="Times New Roman" w:cs="Times New Roman"/>
          <w:b/>
          <w:color w:val="auto"/>
          <w:sz w:val="24"/>
          <w:highlight w:val="none"/>
        </w:rPr>
        <w:t xml:space="preserve">1</w:t>
      </w:r>
      <w:r>
        <w:rPr>
          <w:rFonts w:ascii="宋体" w:hAnsi="宋体" w:eastAsia="宋体" w:cs="宋体"/>
          <w:b/>
          <w:color w:val="auto"/>
          <w:sz w:val="24"/>
          <w:highlight w:val="none"/>
        </w:rPr>
        <w:t xml:space="preserve">份。</w:t>
      </w:r>
      <w:r/>
    </w:p>
    <w:p>
      <w:pPr>
        <w:ind w:left="0" w:right="0" w:firstLine="482"/>
        <w:jc w:val="both"/>
        <w:keepLines w:val="0"/>
        <w:keepNext w:val="0"/>
        <w:pageBreakBefore w:val="0"/>
        <w:spacing w:before="0" w:after="0"/>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4.4</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考核细则</w:t>
      </w:r>
      <w:r/>
    </w:p>
    <w:p>
      <w:pPr>
        <w:ind w:left="0" w:right="0" w:firstLine="482"/>
        <w:jc w:val="both"/>
        <w:keepLines w:val="0"/>
        <w:keepNext w:val="0"/>
        <w:pageBreakBefore w:val="0"/>
        <w:spacing w:before="0" w:after="0"/>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4.4.1绿化管养考核实施细则</w:t>
      </w:r>
      <w:r/>
    </w:p>
    <w:p>
      <w:pPr>
        <w:jc w:val="center"/>
        <w:spacing w:line="300" w:lineRule="auto"/>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r>
      <w:r/>
    </w:p>
    <w:p>
      <w:pPr>
        <w:jc w:val="center"/>
        <w:spacing w:line="300" w:lineRule="auto"/>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一级绿化管养考核实施细则</w:t>
      </w:r>
      <w:r/>
    </w:p>
    <w:tbl>
      <w:tblPr>
        <w:tblStyle w:val="759"/>
        <w:tblW w:w="993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567"/>
        <w:gridCol w:w="4678"/>
        <w:gridCol w:w="1817"/>
        <w:gridCol w:w="1579"/>
        <w:gridCol w:w="587"/>
      </w:tblGrid>
      <w:tr>
        <w:trPr>
          <w:trHeight w:val="397"/>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项目</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分值</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考  核  标  准</w:t>
            </w:r>
            <w:r/>
          </w:p>
        </w:tc>
        <w:tc>
          <w:tcPr>
            <w:gridSpan w:val="2"/>
            <w:tcW w:w="3396"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扣  分  细  则</w:t>
            </w:r>
            <w:r/>
          </w:p>
        </w:tc>
        <w:tc>
          <w:tcPr>
            <w:tcW w:w="587"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扣分</w:t>
            </w:r>
            <w:r/>
          </w:p>
        </w:tc>
      </w:tr>
      <w:tr>
        <w:trPr>
          <w:cantSplit/>
          <w:trHeight w:val="330"/>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left"/>
              <w:spacing w:line="300" w:lineRule="exact"/>
              <w:widowControl/>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 xml:space="preserve">卫生</w:t>
            </w:r>
            <w:r/>
          </w:p>
        </w:tc>
        <w:tc>
          <w:tcPr>
            <w:tcBorders>
              <w:left w:val="single" w:color="auto" w:sz="4" w:space="0"/>
              <w:bottom w:val="single" w:color="auto" w:sz="4" w:space="0"/>
              <w:right w:val="single" w:color="auto" w:sz="4" w:space="0"/>
            </w:tcBorders>
            <w:tcW w:w="567" w:type="dxa"/>
            <w:vAlign w:val="center"/>
            <w:textDirection w:val="lrTb"/>
            <w:noWrap/>
          </w:tcPr>
          <w:p>
            <w:pPr>
              <w:jc w:val="center"/>
              <w:spacing w:line="300" w:lineRule="exact"/>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lang w:val="en-US" w:eastAsia="zh-CN"/>
              </w:rPr>
              <w:t xml:space="preserve">1</w:t>
            </w:r>
            <w:r>
              <w:rPr>
                <w:rFonts w:hint="eastAsia" w:ascii="宋体" w:hAnsi="宋体" w:eastAsia="宋体" w:cs="Century"/>
                <w:color w:val="auto"/>
                <w:spacing w:val="2"/>
                <w:highlight w:val="none"/>
              </w:rPr>
              <w:t xml:space="preserve">、生产垃圾日产日清，重点地段随产随清。</w:t>
            </w:r>
            <w:r/>
          </w:p>
        </w:tc>
        <w:tc>
          <w:tcPr>
            <w:gridSpan w:val="2"/>
            <w:tcW w:w="3396"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养护绿化垃圾当天不及时清运扣3分。</w:t>
            </w:r>
            <w:r/>
          </w:p>
        </w:tc>
        <w:tc>
          <w:tcPr>
            <w:tcW w:w="587" w:type="dxa"/>
            <w:vAlign w:val="center"/>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97"/>
        </w:trPr>
        <w:tc>
          <w:tcPr>
            <w:tcBorders>
              <w:top w:val="single" w:color="auto" w:sz="4" w:space="0"/>
              <w:left w:val="single" w:color="auto" w:sz="4" w:space="0"/>
              <w:right w:val="single" w:color="auto" w:sz="4" w:space="0"/>
            </w:tcBorders>
            <w:tcW w:w="710" w:type="dxa"/>
            <w:vAlign w:val="center"/>
            <w:vMerge w:val="restart"/>
            <w:textDirection w:val="lrTb"/>
            <w:noWrap/>
          </w:tcPr>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草坪</w:t>
            </w:r>
            <w:r/>
          </w:p>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养护</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spacing w:line="300" w:lineRule="exact"/>
              <w:rPr>
                <w:rFonts w:hint="eastAsia" w:ascii="宋体" w:hAnsi="宋体" w:eastAsia="宋体" w:cs="Times New Roman"/>
                <w:color w:val="auto"/>
                <w:sz w:val="18"/>
                <w:szCs w:val="18"/>
                <w:highlight w:val="none"/>
                <w:lang w:eastAsia="zh-CN"/>
              </w:rPr>
            </w:pPr>
            <w:r>
              <w:rPr>
                <w:rFonts w:hint="eastAsia" w:ascii="宋体" w:hAnsi="宋体" w:eastAsia="宋体" w:cs="Times New Roman"/>
                <w:color w:val="auto"/>
                <w:sz w:val="18"/>
                <w:szCs w:val="18"/>
                <w:highlight w:val="none"/>
              </w:rPr>
              <w:t xml:space="preserve">2</w:t>
            </w:r>
            <w:r>
              <w:rPr>
                <w:rFonts w:hint="eastAsia" w:ascii="宋体" w:hAnsi="宋体" w:eastAsia="宋体" w:cs="Times New Roman"/>
                <w:color w:val="auto"/>
                <w:sz w:val="18"/>
                <w:szCs w:val="1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1、生长期长势好，草坪绿期长，抗旱浇水和雨后排水及时，无退化现象。</w:t>
            </w:r>
            <w:r/>
          </w:p>
        </w:tc>
        <w:tc>
          <w:tcPr>
            <w:gridSpan w:val="2"/>
            <w:tcW w:w="3396"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未及时做好浇水、排水工作致草坪生长不良扣3分/处；修剪不合格每平方扣2分；修剪不及时扣2分，病虫害防治不力造成危害影响景观的每平方扣2分；杂草明显、界线不清扣2分/次，未播种黑麦草扣3分，没有施肥扣5分/次，死亡未及时补缺到位扣3分/次。 </w:t>
            </w:r>
            <w:r/>
          </w:p>
        </w:tc>
        <w:tc>
          <w:tcPr>
            <w:tcW w:w="587"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15"/>
        </w:trPr>
        <w:tc>
          <w:tcPr>
            <w:tcBorders>
              <w:left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2、修剪平整，冬绿型草坪高度不超过10厘米，夏绿型草坪高度不超过6厘米，休眠期前作较低修剪。</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15"/>
        </w:trPr>
        <w:tc>
          <w:tcPr>
            <w:tcBorders>
              <w:left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3、草坪无病虫害，无空秃，有一定厚度，草根不裸露。</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15"/>
        </w:trPr>
        <w:tc>
          <w:tcPr>
            <w:tcBorders>
              <w:left w:val="single" w:color="auto" w:sz="4" w:space="0"/>
              <w:right w:val="single" w:color="auto" w:sz="4" w:space="0"/>
            </w:tcBorders>
            <w:tcW w:w="710" w:type="dxa"/>
            <w:vAlign w:val="center"/>
            <w:vMerge w:val="continue"/>
            <w:textDirection w:val="lrTb"/>
            <w:noWrap/>
          </w:tcPr>
          <w:p>
            <w:pPr>
              <w:jc w:val="left"/>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4、无杂草，与绿篱色块、地被之间界线清晰，追加施肥。</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237"/>
        </w:trPr>
        <w:tc>
          <w:tcPr>
            <w:tcBorders>
              <w:left w:val="single" w:color="auto" w:sz="4" w:space="0"/>
              <w:right w:val="single" w:color="auto" w:sz="4" w:space="0"/>
            </w:tcBorders>
            <w:tcW w:w="710" w:type="dxa"/>
            <w:vAlign w:val="center"/>
            <w:vMerge w:val="continue"/>
            <w:textDirection w:val="lrTb"/>
            <w:noWrap/>
          </w:tcPr>
          <w:p>
            <w:pPr>
              <w:jc w:val="left"/>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5、草坪修剪到位，无明显色差。</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288"/>
        </w:trPr>
        <w:tc>
          <w:tcPr>
            <w:tcBorders>
              <w:left w:val="single" w:color="auto" w:sz="4" w:space="0"/>
              <w:bottom w:val="single" w:color="auto" w:sz="4" w:space="0"/>
              <w:right w:val="single" w:color="auto" w:sz="4" w:space="0"/>
            </w:tcBorders>
            <w:tcW w:w="710" w:type="dxa"/>
            <w:vAlign w:val="center"/>
            <w:vMerge w:val="continue"/>
            <w:textDirection w:val="lrTb"/>
            <w:noWrap/>
          </w:tcPr>
          <w:p>
            <w:pPr>
              <w:jc w:val="left"/>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6、9月中下旬播种黑麦草</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15"/>
        </w:trPr>
        <w:tc>
          <w:tcPr>
            <w:tcBorders>
              <w:top w:val="single" w:color="auto" w:sz="4" w:space="0"/>
              <w:left w:val="single" w:color="auto" w:sz="4" w:space="0"/>
              <w:right w:val="single" w:color="auto" w:sz="4" w:space="0"/>
            </w:tcBorders>
            <w:tcW w:w="710" w:type="dxa"/>
            <w:vAlign w:val="center"/>
            <w:vMerge w:val="restart"/>
            <w:textDirection w:val="lrTb"/>
            <w:noWrap/>
          </w:tcPr>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乔灌木</w:t>
            </w:r>
            <w:r/>
          </w:p>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养护</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25</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1、树木生长正常，断枝及明显枯死枝，无倾斜、歪倒现象，绿篱色块基本无空缺。</w:t>
            </w:r>
            <w:r/>
          </w:p>
        </w:tc>
        <w:tc>
          <w:tcPr>
            <w:gridSpan w:val="2"/>
            <w:tcW w:w="3396"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管护不到位，未及时做好浇水、排水工作致苗木死亡的扣5分/处；歪斜树不及时扶正、死树、枯枝、断枝不及时处理扣2分/株。修剪、清理不及时及修剪手法过重扣2分/处；绿篱色块成片死亡未及时补缺到位扣3分/处。出现病虫害症状，防治不力的扣2分/次，造成严重危害的扣3分/次，造成一定范围植株死亡的扣5分/次，没有施肥扣5分/次，发现明显杂草、杂树扣2分/处。</w:t>
            </w:r>
            <w:r/>
          </w:p>
        </w:tc>
        <w:tc>
          <w:tcPr>
            <w:tcW w:w="587"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15"/>
        </w:trPr>
        <w:tc>
          <w:tcPr>
            <w:tcBorders>
              <w:left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2、树木的修剪符合景观观赏要求，乔木根部无萌孽枝，绿篱、色块修剪及时到位，垂直绿化牵引、绑扎到位。</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15"/>
        </w:trPr>
        <w:tc>
          <w:tcPr>
            <w:tcBorders>
              <w:left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3、树木病虫害防治及时、有效，蛀干害虫&lt;3%,食叶性害虫&lt;5%,刺吸性害虫&lt;10%。</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ind w:left="121" w:hanging="120"/>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808"/>
        </w:trPr>
        <w:tc>
          <w:tcPr>
            <w:tcBorders>
              <w:left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4、绿地内无大型杂草、无缠绕性、攀缘性杂草，无乱牵乱挂现象，杂树、树桩清除及时，追加施肥。</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1002"/>
        </w:trPr>
        <w:tc>
          <w:tcPr>
            <w:tcBorders>
              <w:left w:val="single" w:color="auto" w:sz="4" w:space="0"/>
              <w:bottom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5、无死树、无杂树、无明显杂草。</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45"/>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绿地</w:t>
            </w:r>
            <w:r/>
          </w:p>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秩序</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spacing w:line="300" w:lineRule="exact"/>
              <w:rPr>
                <w:rFonts w:hint="eastAsia" w:ascii="宋体" w:hAnsi="宋体" w:eastAsia="宋体" w:cs="Times New Roman"/>
                <w:color w:val="auto"/>
                <w:sz w:val="18"/>
                <w:szCs w:val="18"/>
                <w:highlight w:val="none"/>
                <w:lang w:eastAsia="zh-CN"/>
              </w:rPr>
            </w:pPr>
            <w:r>
              <w:rPr>
                <w:rFonts w:hint="eastAsia" w:ascii="宋体" w:hAnsi="宋体" w:eastAsia="宋体" w:cs="Times New Roman"/>
                <w:color w:val="auto"/>
                <w:sz w:val="18"/>
                <w:szCs w:val="18"/>
                <w:highlight w:val="none"/>
              </w:rPr>
              <w:t xml:space="preserve">1</w:t>
            </w:r>
            <w:r>
              <w:rPr>
                <w:rFonts w:hint="eastAsia" w:ascii="宋体" w:hAnsi="宋体" w:eastAsia="宋体" w:cs="Times New Roman"/>
                <w:color w:val="auto"/>
                <w:sz w:val="18"/>
                <w:szCs w:val="1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1、绿地上有杂物堆放、乱停车、乱披挂、乱设摊、乱晾晒、乱焚烧生产垃圾的现象。</w:t>
            </w:r>
            <w:r/>
          </w:p>
        </w:tc>
        <w:tc>
          <w:tcPr>
            <w:gridSpan w:val="2"/>
            <w:tcW w:w="3396"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发现一辆扣2分，管养人员自己的车辆扣2分/辆,杂物堆放、乱披披挂、乱晾晒扣2分/处，乱设置扣2分/处，乱焚烧生产垃圾扣3分/处，扣完为止。绿地侵占、破坏设施未发现制止或发现未汇报的扣2分/次。</w:t>
            </w:r>
            <w:r/>
          </w:p>
        </w:tc>
        <w:tc>
          <w:tcPr>
            <w:tcW w:w="587"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6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2、发现绿地侵占、偷盗苗木、破坏设施等现象，要立即制止，同时第一时间与甲方联系并汇报。</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622"/>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台帐记录</w:t>
            </w:r>
            <w:r/>
          </w:p>
        </w:tc>
        <w:tc>
          <w:tcPr>
            <w:tcBorders>
              <w:left w:val="single" w:color="auto" w:sz="4" w:space="0"/>
              <w:right w:val="single" w:color="auto" w:sz="4" w:space="0"/>
            </w:tcBorders>
            <w:tcW w:w="567" w:type="dxa"/>
            <w:vAlign w:val="center"/>
            <w:textDirection w:val="lrTb"/>
            <w:noWrap/>
          </w:tcPr>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10</w:t>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1、提供当月考勤情况记录表、管理工作小结及次月工作计划安排。</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2、及时做好各类灾害性天气的应急预案。</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3、做好每月安全例会和文明作业的台帐资料。</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4、提供人员工资福利发放单（复印件）。</w:t>
            </w:r>
            <w:r/>
          </w:p>
        </w:tc>
        <w:tc>
          <w:tcPr>
            <w:gridSpan w:val="2"/>
            <w:tcW w:w="3396"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未按要求完成上交的，每缺一项扣2分。</w:t>
            </w:r>
            <w:r/>
          </w:p>
        </w:tc>
        <w:tc>
          <w:tcPr>
            <w:tcW w:w="587" w:type="dxa"/>
            <w:vAlign w:val="center"/>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33"/>
        </w:trPr>
        <w:tc>
          <w:tcPr>
            <w:tcBorders>
              <w:top w:val="single" w:color="auto" w:sz="4" w:space="0"/>
              <w:left w:val="single" w:color="auto" w:sz="4" w:space="0"/>
              <w:right w:val="single" w:color="auto" w:sz="4" w:space="0"/>
            </w:tcBorders>
            <w:tcW w:w="710" w:type="dxa"/>
            <w:vAlign w:val="center"/>
            <w:vMerge w:val="restart"/>
            <w:textDirection w:val="lrTb"/>
            <w:noWrap/>
          </w:tcPr>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其他</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spacing w:line="300" w:lineRule="exact"/>
              <w:rPr>
                <w:rFonts w:hint="default"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15</w:t>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1、上岗人员符合管养绿地要求，人员齐全，年龄符合规定。定职定岗，按规定着标志服装。</w:t>
            </w:r>
            <w:r/>
          </w:p>
        </w:tc>
        <w:tc>
          <w:tcPr>
            <w:gridSpan w:val="2"/>
            <w:tcW w:w="3396"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上岗人员有缺少或不符合要求扣3分/人，聚众聊天、串岗离岗发现1人扣2分；不着标志服装,每发现1人扣2分。未按作业安全操作规程进行登高、机械操作的发现一次扣2分。不服从甲方管理，未能按要求完成任务的一次扣2分。</w:t>
            </w:r>
            <w:r/>
          </w:p>
        </w:tc>
        <w:tc>
          <w:tcPr>
            <w:tcW w:w="587"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191"/>
        </w:trPr>
        <w:tc>
          <w:tcPr>
            <w:tcBorders>
              <w:left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2、安全要求，按绿化作业安全操作规程执行</w:t>
            </w:r>
            <w:r/>
          </w:p>
        </w:tc>
        <w:tc>
          <w:tcPr>
            <w:gridSpan w:val="2"/>
            <w:tcW w:w="3396" w:type="dxa"/>
            <w:vAlign w:val="center"/>
            <w:vMerge w:val="continue"/>
            <w:textDirection w:val="lrTb"/>
            <w:noWrap/>
          </w:tcPr>
          <w:p>
            <w:pP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1367"/>
        </w:trPr>
        <w:tc>
          <w:tcPr>
            <w:tcBorders>
              <w:left w:val="single" w:color="auto" w:sz="4" w:space="0"/>
              <w:bottom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3、服从甲方统一管理,完成甲方安排的各项任务</w:t>
            </w:r>
            <w:r/>
          </w:p>
        </w:tc>
        <w:tc>
          <w:tcPr>
            <w:gridSpan w:val="2"/>
            <w:tcW w:w="3396" w:type="dxa"/>
            <w:vAlign w:val="center"/>
            <w:vMerge w:val="continue"/>
            <w:textDirection w:val="lrTb"/>
            <w:noWrap/>
          </w:tcPr>
          <w:p>
            <w:pP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W w:w="587"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277"/>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合计</w:t>
            </w:r>
            <w:r/>
          </w:p>
        </w:tc>
        <w:tc>
          <w:tcPr>
            <w:tcBorders>
              <w:top w:val="single" w:color="auto" w:sz="4" w:space="0"/>
              <w:left w:val="single" w:color="auto" w:sz="4" w:space="0"/>
              <w:bottom w:val="single" w:color="auto" w:sz="4" w:space="0"/>
            </w:tcBorders>
            <w:tcW w:w="567"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100</w:t>
            </w:r>
            <w:r/>
          </w:p>
        </w:tc>
        <w:tc>
          <w:tcPr>
            <w:tcBorders>
              <w:top w:val="single" w:color="auto" w:sz="4" w:space="0"/>
              <w:left w:val="single" w:color="auto" w:sz="4" w:space="0"/>
              <w:bottom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top w:val="single" w:color="auto" w:sz="4" w:space="0"/>
              <w:left w:val="single" w:color="auto" w:sz="4" w:space="0"/>
              <w:bottom w:val="single" w:color="auto" w:sz="4" w:space="0"/>
            </w:tcBorders>
            <w:tcW w:w="1817"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top w:val="single" w:color="auto" w:sz="4" w:space="0"/>
              <w:left w:val="single" w:color="auto" w:sz="4" w:space="0"/>
              <w:bottom w:val="single" w:color="auto" w:sz="4" w:space="0"/>
            </w:tcBorders>
            <w:tcW w:w="1579"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得分</w:t>
            </w:r>
            <w:r/>
          </w:p>
        </w:tc>
        <w:tc>
          <w:tcPr>
            <w:tcW w:w="587" w:type="dxa"/>
            <w:vAlign w:val="top"/>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1035"/>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特别</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条款</w:t>
            </w:r>
            <w:r/>
          </w:p>
        </w:tc>
        <w:tc>
          <w:tcPr>
            <w:gridSpan w:val="4"/>
            <w:tcBorders>
              <w:top w:val="none" w:color="000000" w:sz="4" w:space="0"/>
              <w:left w:val="single" w:color="auto" w:sz="4" w:space="0"/>
              <w:bottom w:val="single" w:color="auto" w:sz="4" w:space="0"/>
            </w:tcBorders>
            <w:tcW w:w="8641"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1、被媒体曝光或受到各级领导通报批评的，发生一次扣5分；</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2、各部门发现的问题或者群众来信来访未能及时整改处理或回复处理不及时、不真实的，每次扣5分。</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3、由长效管理，数字化执法局等部门对管养出现扣分的，直接按标准双倍扣分。</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4、由市第三方、镇处置通平台拍照每处扣2分。</w:t>
            </w:r>
            <w:r/>
          </w:p>
        </w:tc>
        <w:tc>
          <w:tcPr>
            <w:tcW w:w="587" w:type="dxa"/>
            <w:vAlign w:val="top"/>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bl>
    <w:p>
      <w:pPr>
        <w:jc w:val="left"/>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r>
      <w:r/>
    </w:p>
    <w:p>
      <w:pPr>
        <w:jc w:val="center"/>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二级绿化管养考核实施细则</w:t>
      </w:r>
      <w:r/>
    </w:p>
    <w:p>
      <w:pPr>
        <w:jc w:val="lef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r>
      <w:r/>
    </w:p>
    <w:tbl>
      <w:tblPr>
        <w:tblStyle w:val="759"/>
        <w:tblW w:w="991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567"/>
        <w:gridCol w:w="4678"/>
        <w:gridCol w:w="1817"/>
        <w:gridCol w:w="1579"/>
        <w:gridCol w:w="562"/>
      </w:tblGrid>
      <w:tr>
        <w:trPr>
          <w:trHeight w:val="397"/>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项目</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分值</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考  核  标  准</w:t>
            </w:r>
            <w:r/>
          </w:p>
        </w:tc>
        <w:tc>
          <w:tcPr>
            <w:gridSpan w:val="2"/>
            <w:tcW w:w="3396"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扣  分  细  则</w:t>
            </w:r>
            <w:r/>
          </w:p>
        </w:tc>
        <w:tc>
          <w:tcPr>
            <w:tcW w:w="562" w:type="dxa"/>
            <w:vAlign w:val="center"/>
            <w:textDirection w:val="lrTb"/>
            <w:noWrap/>
          </w:tcPr>
          <w:p>
            <w:pPr>
              <w:jc w:val="center"/>
              <w:spacing w:line="300" w:lineRule="exact"/>
              <w:rPr>
                <w:rFonts w:hint="eastAsia" w:ascii="宋体" w:hAnsi="宋体" w:eastAsia="宋体" w:cs="Century"/>
                <w:b/>
                <w:bCs/>
                <w:color w:val="auto"/>
                <w:spacing w:val="2"/>
                <w:highlight w:val="none"/>
              </w:rPr>
            </w:pPr>
            <w:r>
              <w:rPr>
                <w:rFonts w:hint="eastAsia" w:ascii="宋体" w:hAnsi="宋体" w:eastAsia="宋体" w:cs="Century"/>
                <w:b/>
                <w:bCs/>
                <w:color w:val="auto"/>
                <w:spacing w:val="2"/>
                <w:highlight w:val="none"/>
              </w:rPr>
              <w:t xml:space="preserve">扣分</w:t>
            </w:r>
            <w:r/>
          </w:p>
        </w:tc>
      </w:tr>
      <w:tr>
        <w:trPr>
          <w:cantSplit/>
          <w:trHeight w:val="330"/>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spacing w:line="300" w:lineRule="exact"/>
              <w:rPr>
                <w:rFonts w:hint="eastAsia" w:ascii="宋体" w:hAnsi="宋体" w:eastAsia="宋体" w:cs="Century"/>
                <w:color w:val="auto"/>
                <w:spacing w:val="2"/>
                <w:highlight w:val="none"/>
                <w:lang w:eastAsia="zh-CN"/>
              </w:rPr>
            </w:pPr>
            <w:r>
              <w:rPr>
                <w:rFonts w:hint="eastAsia" w:ascii="宋体" w:hAnsi="宋体" w:eastAsia="宋体" w:cs="Century"/>
                <w:color w:val="auto"/>
                <w:spacing w:val="2"/>
                <w:highlight w:val="none"/>
                <w:lang w:eastAsia="zh-CN"/>
              </w:rPr>
              <w:t xml:space="preserve">卫生</w:t>
            </w:r>
            <w:r/>
          </w:p>
        </w:tc>
        <w:tc>
          <w:tcPr>
            <w:tcBorders>
              <w:left w:val="single" w:color="auto" w:sz="4" w:space="0"/>
              <w:bottom w:val="single" w:color="auto" w:sz="4" w:space="0"/>
              <w:right w:val="single" w:color="auto" w:sz="4" w:space="0"/>
            </w:tcBorders>
            <w:tcW w:w="567" w:type="dxa"/>
            <w:vAlign w:val="center"/>
            <w:textDirection w:val="lrTb"/>
            <w:noWrap/>
          </w:tcPr>
          <w:p>
            <w:pPr>
              <w:jc w:val="center"/>
              <w:spacing w:line="300" w:lineRule="exact"/>
              <w:rPr>
                <w:rFonts w:hint="default" w:ascii="宋体" w:hAnsi="宋体" w:eastAsia="宋体" w:cs="Century"/>
                <w:color w:val="auto"/>
                <w:spacing w:val="2"/>
                <w:highlight w:val="none"/>
                <w:lang w:val="en-US" w:eastAsia="zh-CN"/>
              </w:rPr>
            </w:pPr>
            <w:r>
              <w:rPr>
                <w:rFonts w:hint="eastAsia" w:ascii="宋体" w:hAnsi="宋体" w:eastAsia="宋体" w:cs="Century"/>
                <w:color w:val="auto"/>
                <w:spacing w:val="2"/>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2、生产垃圾日产日清，重点地段随产随清。</w:t>
            </w:r>
            <w:r/>
          </w:p>
        </w:tc>
        <w:tc>
          <w:tcPr>
            <w:gridSpan w:val="2"/>
            <w:tcW w:w="3396"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养护绿化垃圾当天不及时清运扣2分。</w:t>
            </w:r>
            <w:r/>
          </w:p>
        </w:tc>
        <w:tc>
          <w:tcPr>
            <w:tcW w:w="562" w:type="dxa"/>
            <w:vAlign w:val="center"/>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97"/>
        </w:trPr>
        <w:tc>
          <w:tcPr>
            <w:tcBorders>
              <w:top w:val="single" w:color="auto" w:sz="4" w:space="0"/>
              <w:left w:val="single" w:color="auto" w:sz="4" w:space="0"/>
              <w:right w:val="single" w:color="auto" w:sz="4" w:space="0"/>
            </w:tcBorders>
            <w:tcW w:w="710"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草坪</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养护</w:t>
            </w:r>
            <w:r/>
          </w:p>
        </w:tc>
        <w:tc>
          <w:tcPr>
            <w:tcBorders>
              <w:top w:val="single" w:color="auto" w:sz="4" w:space="0"/>
              <w:left w:val="single" w:color="auto" w:sz="4" w:space="0"/>
              <w:right w:val="single" w:color="auto" w:sz="4" w:space="0"/>
            </w:tcBorders>
            <w:tcW w:w="567" w:type="dxa"/>
            <w:vAlign w:val="center"/>
            <w:vMerge w:val="restart"/>
            <w:textDirection w:val="lrTb"/>
            <w:noWrap/>
          </w:tcPr>
          <w:p>
            <w:pPr>
              <w:spacing w:line="300" w:lineRule="exact"/>
              <w:rPr>
                <w:rFonts w:hint="default" w:ascii="宋体" w:hAnsi="宋体" w:eastAsia="宋体" w:cs="Century"/>
                <w:color w:val="auto"/>
                <w:spacing w:val="2"/>
                <w:highlight w:val="none"/>
              </w:rPr>
            </w:pPr>
            <w:r>
              <w:rPr>
                <w:rFonts w:hint="eastAsia" w:ascii="宋体" w:hAnsi="宋体" w:eastAsia="宋体" w:cs="Century"/>
                <w:color w:val="auto"/>
                <w:spacing w:val="2"/>
                <w:highlight w:val="none"/>
              </w:rPr>
              <w:t xml:space="preserve">18</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1、生长期长势好，草坪绿期长，抗旱浇水和雨后排水及时，无退化现象。</w:t>
            </w:r>
            <w:r/>
          </w:p>
        </w:tc>
        <w:tc>
          <w:tcPr>
            <w:gridSpan w:val="2"/>
            <w:tcW w:w="3396"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未及时做好浇水、排水工作致草坪生长不良扣2分/处；修剪不合格每平方扣2分；病虫害防治不力造成危害影响景观的每平方扣2分；杂草明显、界线不清扣2分/次，没有施肥扣3分/次，未播种黑麦草扣3分，死亡未及时补缺到位扣3分/次。</w:t>
            </w:r>
            <w:r/>
          </w:p>
        </w:tc>
        <w:tc>
          <w:tcPr>
            <w:tcW w:w="562"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15"/>
        </w:trPr>
        <w:tc>
          <w:tcPr>
            <w:tcBorders>
              <w:left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2、修剪平整，冬、夏绿型草坪高度适应天气，休眠期前作较低修剪。</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485"/>
        </w:trPr>
        <w:tc>
          <w:tcPr>
            <w:tcBorders>
              <w:left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3、草坪无病虫害，无空秃，有一定厚度，草根不裸露。</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432"/>
        </w:trPr>
        <w:tc>
          <w:tcPr>
            <w:tcBorders>
              <w:left w:val="single" w:color="auto" w:sz="4" w:space="0"/>
              <w:right w:val="single" w:color="auto" w:sz="4" w:space="0"/>
            </w:tcBorders>
            <w:tcW w:w="710" w:type="dxa"/>
            <w:vAlign w:val="center"/>
            <w:vMerge w:val="continue"/>
            <w:textDirection w:val="lrTb"/>
            <w:noWrap/>
          </w:tcPr>
          <w:p>
            <w:pPr>
              <w:jc w:val="left"/>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4、无杂草，与绿篱色块、地被之间界线清晰，追加施肥。</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98"/>
        </w:trPr>
        <w:tc>
          <w:tcPr>
            <w:tcBorders>
              <w:left w:val="single" w:color="auto" w:sz="4" w:space="0"/>
              <w:right w:val="single" w:color="auto" w:sz="4" w:space="0"/>
            </w:tcBorders>
            <w:tcW w:w="710" w:type="dxa"/>
            <w:vAlign w:val="center"/>
            <w:vMerge w:val="continue"/>
            <w:textDirection w:val="lrTb"/>
            <w:noWrap/>
          </w:tcPr>
          <w:p>
            <w:pPr>
              <w:jc w:val="left"/>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5、草坪无明显色差。</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78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乔灌木</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养护</w:t>
            </w:r>
            <w:r/>
          </w:p>
        </w:tc>
        <w:tc>
          <w:tcPr>
            <w:tcBorders>
              <w:top w:val="single" w:color="auto" w:sz="4" w:space="0"/>
              <w:left w:val="single" w:color="auto" w:sz="4" w:space="0"/>
              <w:right w:val="single" w:color="auto" w:sz="4" w:space="0"/>
            </w:tcBorders>
            <w:tcW w:w="567" w:type="dxa"/>
            <w:vAlign w:val="center"/>
            <w:vMerge w:val="restart"/>
            <w:textDirection w:val="lrTb"/>
            <w:noWrap/>
          </w:tcPr>
          <w:p>
            <w:pPr>
              <w:spacing w:line="300" w:lineRule="exact"/>
              <w:rPr>
                <w:rFonts w:hint="default" w:ascii="宋体" w:hAnsi="宋体" w:eastAsia="宋体" w:cs="Century"/>
                <w:color w:val="auto"/>
                <w:spacing w:val="2"/>
                <w:highlight w:val="none"/>
              </w:rPr>
            </w:pPr>
            <w:r>
              <w:rPr>
                <w:rFonts w:hint="eastAsia" w:ascii="宋体" w:hAnsi="宋体" w:eastAsia="宋体" w:cs="Century"/>
                <w:color w:val="auto"/>
                <w:spacing w:val="2"/>
                <w:highlight w:val="none"/>
              </w:rPr>
              <w:t xml:space="preserve">22</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1、树木生长正常，无死树、断枝及明显枯死枝，无倾斜、歪倒现象，绿篱色块基本无空缺。</w:t>
            </w:r>
            <w:r/>
          </w:p>
        </w:tc>
        <w:tc>
          <w:tcPr>
            <w:gridSpan w:val="2"/>
            <w:tcW w:w="3396"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管护不到位，未及时做好浇水、排水工作致苗木死亡的扣3分/处；歪斜树不及时扶正、死树、枯枝、断枝不及时处理扣2分/株。修剪、清理不及时及修剪手法过重扣2分/处；绿篱色块成片死亡未及时补缺到位扣3分/处。出现病虫害症状，防治不力的扣2分/次，造成严重危害的扣3分/次，造成一定范围植株死亡的扣5分/次，没有施肥扣3分/次，发现明显杂草、杂树扣2分/处。</w:t>
            </w:r>
            <w:r/>
          </w:p>
        </w:tc>
        <w:tc>
          <w:tcPr>
            <w:tcW w:w="562"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74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2、树木的修剪符合景观观赏要求，乔木根部无萌孽枝，绿篱、色块修剪及时到位，垂直绿化牵引、绑扎到位。</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98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3、树木病虫害防治及时、有效，蛀干害虫&lt;3%,食叶性害虫&lt;5%,刺吸性害虫&lt;10%。</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ind w:left="121" w:hanging="120"/>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924"/>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4、绿地内无大型杂草、无缠绕性、攀缘性杂草，无乱牵乱挂现象，杂树、树桩清除及时，追加施肥。</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45"/>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绿地</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秩序</w:t>
            </w:r>
            <w:r/>
          </w:p>
        </w:tc>
        <w:tc>
          <w:tcPr>
            <w:tcBorders>
              <w:top w:val="single" w:color="auto" w:sz="4" w:space="0"/>
              <w:left w:val="single" w:color="auto" w:sz="4" w:space="0"/>
              <w:right w:val="single" w:color="auto" w:sz="4" w:space="0"/>
            </w:tcBorders>
            <w:tcW w:w="567"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10</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1、绿地上有杂物堆放、乱停车、乱披挂、乱设摊、乱晾晒、乱焚烧生产垃圾的现象。</w:t>
            </w:r>
            <w:r/>
          </w:p>
        </w:tc>
        <w:tc>
          <w:tcPr>
            <w:gridSpan w:val="2"/>
            <w:tcW w:w="3396"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发现一辆扣2分，管养人员自己的车辆扣2分/辆,杂物堆放、乱披披挂、乱晾晒扣2分/处，乱设置扣2分/处，乱焚烧生产垃圾扣3分/处，扣完为止。绿地侵占、破坏设施未发现制止或发现未汇报的扣2分/次。</w:t>
            </w:r>
            <w:r/>
          </w:p>
        </w:tc>
        <w:tc>
          <w:tcPr>
            <w:tcW w:w="562"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6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left w:val="single" w:color="auto" w:sz="4" w:space="0"/>
              <w:right w:val="single" w:color="auto" w:sz="4" w:space="0"/>
            </w:tcBorders>
            <w:tcW w:w="567"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2、发现绿地侵占、偷盗苗木、破坏设施等现象，要立即制止，同时第一时间与甲方联系并汇报。</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967"/>
        </w:trPr>
        <w:tc>
          <w:tcPr>
            <w:tcBorders>
              <w:top w:val="single" w:color="auto" w:sz="4" w:space="0"/>
              <w:left w:val="single" w:color="auto" w:sz="4" w:space="0"/>
              <w:right w:val="single" w:color="auto" w:sz="4" w:space="0"/>
            </w:tcBorders>
            <w:tcW w:w="710"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草花</w:t>
            </w:r>
            <w:r/>
          </w:p>
        </w:tc>
        <w:tc>
          <w:tcPr>
            <w:tcBorders>
              <w:left w:val="single" w:color="auto" w:sz="4" w:space="0"/>
              <w:right w:val="single" w:color="auto" w:sz="4" w:space="0"/>
            </w:tcBorders>
            <w:tcW w:w="567" w:type="dxa"/>
            <w:vAlign w:val="center"/>
            <w:vMerge w:val="restart"/>
            <w:textDirection w:val="lrTb"/>
            <w:noWrap/>
          </w:tcPr>
          <w:p>
            <w:pPr>
              <w:spacing w:line="300" w:lineRule="exact"/>
              <w:rPr>
                <w:rFonts w:hint="default" w:ascii="宋体" w:hAnsi="宋体" w:eastAsia="宋体" w:cs="Century"/>
                <w:color w:val="auto"/>
                <w:spacing w:val="2"/>
                <w:highlight w:val="none"/>
              </w:rPr>
            </w:pPr>
            <w:r>
              <w:rPr>
                <w:rFonts w:hint="eastAsia" w:ascii="宋体" w:hAnsi="宋体" w:eastAsia="宋体" w:cs="Century"/>
                <w:color w:val="auto"/>
                <w:spacing w:val="2"/>
                <w:highlight w:val="none"/>
              </w:rPr>
              <w:t xml:space="preserve">20</w:t>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1、草花里无杂草、杂树、乱堆放、乱晾晒的现象。</w:t>
            </w:r>
            <w:r/>
          </w:p>
        </w:tc>
        <w:tc>
          <w:tcPr>
            <w:gridSpan w:val="2"/>
            <w:tcW w:w="3396" w:type="dxa"/>
            <w:vAlign w:val="center"/>
            <w:vMerge w:val="restart"/>
            <w:textDirection w:val="lrTb"/>
            <w:noWrap/>
          </w:tcPr>
          <w:p>
            <w:pPr>
              <w:spacing w:line="300" w:lineRule="exact"/>
              <w:rPr>
                <w:rFonts w:hint="default" w:ascii="宋体" w:hAnsi="宋体" w:eastAsia="宋体" w:cs="Century"/>
                <w:color w:val="auto"/>
                <w:spacing w:val="2"/>
                <w:highlight w:val="none"/>
              </w:rPr>
            </w:pPr>
            <w:r>
              <w:rPr>
                <w:rFonts w:hint="eastAsia" w:ascii="宋体" w:hAnsi="宋体" w:eastAsia="宋体" w:cs="Century"/>
                <w:color w:val="auto"/>
                <w:spacing w:val="2"/>
                <w:highlight w:val="none"/>
              </w:rPr>
              <w:t xml:space="preserve">草花死亡、空秃扣2分，经甲方提醒仍未补栽的扣4分，有杂草扣3分，乱堆放、枯枝、枯叶扣2分，被破会侵占的扣1分，未按照合同约定时间将草花种植结束的扣4分，种植草花管理不善或时节错误大面积死亡的扣4分。</w:t>
            </w:r>
            <w:r/>
          </w:p>
        </w:tc>
        <w:tc>
          <w:tcPr>
            <w:tcW w:w="562"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260"/>
        </w:trPr>
        <w:tc>
          <w:tcPr>
            <w:tcBorders>
              <w:left w:val="single" w:color="auto" w:sz="4" w:space="0"/>
              <w:bottom w:val="single" w:color="auto" w:sz="4" w:space="0"/>
              <w:right w:val="single" w:color="auto" w:sz="4" w:space="0"/>
            </w:tcBorders>
            <w:tcW w:w="710" w:type="dxa"/>
            <w:vAlign w:val="center"/>
            <w:vMerge w:val="continue"/>
            <w:textDirection w:val="lrTb"/>
            <w:noWrap/>
          </w:tcPr>
          <w:p>
            <w:pPr>
              <w:jc w:val="center"/>
              <w:spacing w:line="300" w:lineRule="exact"/>
              <w:widowControl/>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spacing w:line="300" w:lineRule="exac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default" w:ascii="宋体" w:hAnsi="宋体" w:eastAsia="宋体" w:cs="Century"/>
                <w:color w:val="auto"/>
                <w:spacing w:val="2"/>
                <w:highlight w:val="none"/>
              </w:rPr>
            </w:pPr>
            <w:r>
              <w:rPr>
                <w:rFonts w:hint="eastAsia" w:ascii="宋体" w:hAnsi="宋体" w:eastAsia="宋体" w:cs="Century"/>
                <w:color w:val="auto"/>
                <w:spacing w:val="2"/>
                <w:highlight w:val="none"/>
              </w:rPr>
              <w:t xml:space="preserve">2、无破坏、无空秃、无死亡、无枯枝、无枯叶等现象。</w:t>
            </w:r>
            <w:r/>
          </w:p>
        </w:tc>
        <w:tc>
          <w:tcPr>
            <w:gridSpan w:val="2"/>
            <w:tcW w:w="3396"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622"/>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台帐记录</w:t>
            </w:r>
            <w:r/>
          </w:p>
        </w:tc>
        <w:tc>
          <w:tcPr>
            <w:tcBorders>
              <w:left w:val="single" w:color="auto" w:sz="4" w:space="0"/>
              <w:right w:val="single" w:color="auto" w:sz="4" w:space="0"/>
            </w:tcBorders>
            <w:tcW w:w="567"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8</w:t>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1、提供当月考勤情况记录表、管理工作小结及次月工作计划安排。</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2、及时做好各类灾害性天气的应急预案。</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3、做好每月安全例会和文明作业的台帐资料。</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4、提供人员工资福利发放单（复印件）。</w:t>
            </w:r>
            <w:r/>
          </w:p>
        </w:tc>
        <w:tc>
          <w:tcPr>
            <w:gridSpan w:val="2"/>
            <w:tcW w:w="3396"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未按要求完成上交的，每缺一项扣2分。</w:t>
            </w:r>
            <w:r/>
          </w:p>
        </w:tc>
        <w:tc>
          <w:tcPr>
            <w:tcW w:w="562" w:type="dxa"/>
            <w:vAlign w:val="center"/>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333"/>
        </w:trPr>
        <w:tc>
          <w:tcPr>
            <w:tcBorders>
              <w:top w:val="single" w:color="auto" w:sz="4" w:space="0"/>
              <w:left w:val="single" w:color="auto" w:sz="4" w:space="0"/>
              <w:right w:val="single" w:color="auto" w:sz="4" w:space="0"/>
            </w:tcBorders>
            <w:tcW w:w="710"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其他</w:t>
            </w:r>
            <w:r/>
          </w:p>
        </w:tc>
        <w:tc>
          <w:tcPr>
            <w:tcBorders>
              <w:top w:val="single" w:color="auto" w:sz="4" w:space="0"/>
              <w:left w:val="single" w:color="auto" w:sz="4" w:space="0"/>
              <w:right w:val="single" w:color="auto" w:sz="4" w:space="0"/>
            </w:tcBorders>
            <w:tcW w:w="567" w:type="dxa"/>
            <w:vAlign w:val="center"/>
            <w:vMerge w:val="restart"/>
            <w:textDirection w:val="lrTb"/>
            <w:noWrap/>
          </w:tcPr>
          <w:p>
            <w:pPr>
              <w:spacing w:line="300" w:lineRule="exact"/>
              <w:rPr>
                <w:rFonts w:hint="default" w:ascii="宋体" w:hAnsi="宋体" w:eastAsia="宋体" w:cs="Century"/>
                <w:color w:val="auto"/>
                <w:spacing w:val="2"/>
                <w:highlight w:val="none"/>
              </w:rPr>
            </w:pPr>
            <w:r>
              <w:rPr>
                <w:rFonts w:hint="eastAsia" w:ascii="宋体" w:hAnsi="宋体" w:eastAsia="宋体" w:cs="Century"/>
                <w:color w:val="auto"/>
                <w:spacing w:val="2"/>
                <w:highlight w:val="none"/>
              </w:rPr>
              <w:t xml:space="preserve">10</w:t>
            </w:r>
            <w:r/>
          </w:p>
        </w:tc>
        <w:tc>
          <w:tcPr>
            <w:tcBorders>
              <w:top w:val="single" w:color="auto" w:sz="4" w:space="0"/>
              <w:left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1、上岗人员符合管养绿地要求，人员齐全，年龄符合规定。定职定岗，按规定着标志服装。</w:t>
            </w:r>
            <w:r/>
          </w:p>
        </w:tc>
        <w:tc>
          <w:tcPr>
            <w:gridSpan w:val="2"/>
            <w:tcW w:w="3396" w:type="dxa"/>
            <w:vAlign w:val="center"/>
            <w:vMerge w:val="restart"/>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上岗人员有缺少或不符合要求扣2分/人，聚众聊天、串岗离岗发现1人扣1分；不着标志服装,每发现1人扣1分。未按作业安全操作规程进行登高、机械操作的发现一次扣2分。不服从甲方管理，未能按要求完成任务的一次扣2分。</w:t>
            </w:r>
            <w:r/>
          </w:p>
        </w:tc>
        <w:tc>
          <w:tcPr>
            <w:tcW w:w="562" w:type="dxa"/>
            <w:vAlign w:val="center"/>
            <w:vMerge w:val="restart"/>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191"/>
        </w:trPr>
        <w:tc>
          <w:tcPr>
            <w:tcBorders>
              <w:left w:val="single" w:color="auto" w:sz="4" w:space="0"/>
              <w:right w:val="single" w:color="auto" w:sz="4" w:space="0"/>
            </w:tcBorders>
            <w:tcW w:w="710"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left w:val="single" w:color="auto" w:sz="4" w:space="0"/>
              <w:right w:val="single" w:color="auto" w:sz="4" w:space="0"/>
            </w:tcBorders>
            <w:tcW w:w="567"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2、安全要求，按绿化作业安全操作规程执行</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960"/>
        </w:trPr>
        <w:tc>
          <w:tcPr>
            <w:tcBorders>
              <w:left w:val="single" w:color="auto" w:sz="4" w:space="0"/>
              <w:bottom w:val="single" w:color="auto" w:sz="4" w:space="0"/>
              <w:right w:val="single" w:color="auto" w:sz="4" w:space="0"/>
            </w:tcBorders>
            <w:tcW w:w="710"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3、服从甲方统一管理,完成甲方安排的各项任务</w:t>
            </w:r>
            <w:r/>
          </w:p>
        </w:tc>
        <w:tc>
          <w:tcPr>
            <w:gridSpan w:val="2"/>
            <w:tcW w:w="3396" w:type="dxa"/>
            <w:vAlign w:val="center"/>
            <w:vMerge w:val="continue"/>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W w:w="562" w:type="dxa"/>
            <w:vAlign w:val="center"/>
            <w:vMerge w:val="continue"/>
            <w:textDirection w:val="lrTb"/>
            <w:noWrap/>
          </w:tcPr>
          <w:p>
            <w:pPr>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277"/>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合计</w:t>
            </w:r>
            <w:r/>
          </w:p>
        </w:tc>
        <w:tc>
          <w:tcPr>
            <w:tcBorders>
              <w:top w:val="single" w:color="auto" w:sz="4" w:space="0"/>
              <w:left w:val="single" w:color="auto" w:sz="4" w:space="0"/>
              <w:bottom w:val="single" w:color="auto" w:sz="4" w:space="0"/>
            </w:tcBorders>
            <w:tcW w:w="567"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100</w:t>
            </w:r>
            <w:r/>
          </w:p>
        </w:tc>
        <w:tc>
          <w:tcPr>
            <w:tcBorders>
              <w:top w:val="single" w:color="auto" w:sz="4" w:space="0"/>
              <w:left w:val="single" w:color="auto" w:sz="4" w:space="0"/>
              <w:bottom w:val="single" w:color="auto" w:sz="4" w:space="0"/>
            </w:tcBorders>
            <w:tcW w:w="4678"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top w:val="single" w:color="auto" w:sz="4" w:space="0"/>
              <w:left w:val="single" w:color="auto" w:sz="4" w:space="0"/>
              <w:bottom w:val="single" w:color="auto" w:sz="4" w:space="0"/>
            </w:tcBorders>
            <w:tcW w:w="1817"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r>
            <w:r/>
          </w:p>
        </w:tc>
        <w:tc>
          <w:tcPr>
            <w:tcBorders>
              <w:top w:val="single" w:color="auto" w:sz="4" w:space="0"/>
              <w:left w:val="single" w:color="auto" w:sz="4" w:space="0"/>
              <w:bottom w:val="single" w:color="auto" w:sz="4" w:space="0"/>
            </w:tcBorders>
            <w:tcW w:w="1579"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得分</w:t>
            </w:r>
            <w:r/>
          </w:p>
        </w:tc>
        <w:tc>
          <w:tcPr>
            <w:tcBorders>
              <w:bottom w:val="single" w:color="auto" w:sz="4" w:space="0"/>
            </w:tcBorders>
            <w:tcW w:w="562" w:type="dxa"/>
            <w:vAlign w:val="top"/>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r>
        <w:trPr>
          <w:cantSplit/>
          <w:trHeight w:val="1035"/>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特别</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条款</w:t>
            </w:r>
            <w:r/>
          </w:p>
        </w:tc>
        <w:tc>
          <w:tcPr>
            <w:gridSpan w:val="4"/>
            <w:tcBorders>
              <w:top w:val="single" w:color="auto" w:sz="4" w:space="0"/>
              <w:left w:val="single" w:color="auto" w:sz="4" w:space="0"/>
              <w:bottom w:val="single" w:color="auto" w:sz="4" w:space="0"/>
            </w:tcBorders>
            <w:tcW w:w="8641" w:type="dxa"/>
            <w:vAlign w:val="center"/>
            <w:textDirection w:val="lrTb"/>
            <w:noWrap/>
          </w:tcPr>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被媒体曝光或受到各级领导通报批评的，发生一次扣5分；</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各部门发现的问题或者群众来信来访未能及时整改处理或回复处理不及时、不真实的，每次扣5分。</w:t>
            </w:r>
            <w:r/>
          </w:p>
          <w:p>
            <w:pPr>
              <w:spacing w:line="300" w:lineRule="exact"/>
              <w:rPr>
                <w:rFonts w:hint="eastAsia" w:ascii="宋体" w:hAnsi="宋体" w:eastAsia="宋体" w:cs="Century"/>
                <w:color w:val="auto"/>
                <w:spacing w:val="2"/>
                <w:highlight w:val="none"/>
              </w:rPr>
            </w:pPr>
            <w:r>
              <w:rPr>
                <w:rFonts w:hint="eastAsia" w:ascii="宋体" w:hAnsi="宋体" w:eastAsia="宋体" w:cs="Century"/>
                <w:color w:val="auto"/>
                <w:spacing w:val="2"/>
                <w:highlight w:val="none"/>
              </w:rPr>
              <w:t xml:space="preserve">由长效管理，数字化执法局等部门对管养出现扣分的，直接按标准双倍扣分。</w:t>
            </w:r>
            <w:r/>
          </w:p>
        </w:tc>
        <w:tc>
          <w:tcPr>
            <w:tcBorders>
              <w:top w:val="single" w:color="auto" w:sz="4" w:space="0"/>
            </w:tcBorders>
            <w:tcW w:w="562" w:type="dxa"/>
            <w:vAlign w:val="top"/>
            <w:textDirection w:val="lrTb"/>
            <w:noWrap/>
          </w:tcPr>
          <w:p>
            <w:pPr>
              <w:jc w:val="left"/>
              <w:spacing w:line="300" w:lineRule="exact"/>
              <w:widowControl/>
              <w:rPr>
                <w:rFonts w:hint="default" w:ascii="宋体" w:hAnsi="宋体" w:eastAsia="宋体" w:cs="Times New Roman"/>
                <w:color w:val="auto"/>
                <w:sz w:val="18"/>
                <w:szCs w:val="18"/>
                <w:highlight w:val="none"/>
              </w:rPr>
            </w:pPr>
            <w:r>
              <w:rPr>
                <w:rFonts w:hint="default" w:ascii="宋体" w:hAnsi="宋体" w:eastAsia="宋体" w:cs="Times New Roman"/>
                <w:color w:val="auto"/>
                <w:sz w:val="18"/>
                <w:szCs w:val="18"/>
                <w:highlight w:val="none"/>
              </w:rPr>
            </w:r>
            <w:r/>
          </w:p>
        </w:tc>
      </w:tr>
    </w:tbl>
    <w:p>
      <w:pPr>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r>
      <w:r/>
    </w:p>
    <w:p>
      <w:pPr>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说明：1</w:t>
      </w:r>
      <w:r>
        <w:rPr>
          <w:rFonts w:hint="eastAsia" w:ascii="宋体" w:hAnsi="宋体" w:cs="Century"/>
          <w:color w:val="auto"/>
          <w:spacing w:val="2"/>
          <w:sz w:val="24"/>
          <w:szCs w:val="24"/>
          <w:highlight w:val="none"/>
          <w:lang w:eastAsia="zh-CN"/>
        </w:rPr>
        <w:t xml:space="preserve">）</w:t>
      </w:r>
      <w:r>
        <w:rPr>
          <w:rFonts w:hint="eastAsia" w:ascii="宋体" w:hAnsi="宋体" w:eastAsia="宋体" w:cs="Century"/>
          <w:color w:val="auto"/>
          <w:spacing w:val="2"/>
          <w:sz w:val="24"/>
          <w:szCs w:val="24"/>
          <w:highlight w:val="none"/>
        </w:rPr>
        <w:t xml:space="preserve">考核细则实施扣分，每一项扣分以扣完本项目分值为止。</w:t>
      </w:r>
      <w:r/>
    </w:p>
    <w:p>
      <w:pPr>
        <w:ind w:firstLine="732"/>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2</w:t>
      </w:r>
      <w:r>
        <w:rPr>
          <w:rFonts w:hint="eastAsia" w:ascii="宋体" w:hAnsi="宋体" w:cs="Century"/>
          <w:color w:val="auto"/>
          <w:spacing w:val="2"/>
          <w:sz w:val="24"/>
          <w:szCs w:val="24"/>
          <w:highlight w:val="none"/>
          <w:lang w:eastAsia="zh-CN"/>
        </w:rPr>
        <w:t xml:space="preserve">）</w:t>
      </w:r>
      <w:r>
        <w:rPr>
          <w:rFonts w:hint="eastAsia" w:ascii="宋体" w:hAnsi="宋体" w:eastAsia="宋体" w:cs="Century"/>
          <w:color w:val="auto"/>
          <w:spacing w:val="2"/>
          <w:sz w:val="24"/>
          <w:szCs w:val="24"/>
          <w:highlight w:val="none"/>
        </w:rPr>
        <w:t xml:space="preserve">日常考核时，对于人员上岗、着装、日常保洁、病虫害以及一些直接造成损害的问题直接扣分；其他问题按要求整改处理，在规定期限未能处理到位的进行扣分，月考核中，发现问题直接扣分。</w:t>
      </w:r>
      <w:r/>
    </w:p>
    <w:p>
      <w:pPr>
        <w:ind w:firstLine="732"/>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3</w:t>
      </w:r>
      <w:r>
        <w:rPr>
          <w:rFonts w:hint="eastAsia" w:ascii="宋体" w:hAnsi="宋体" w:cs="Century"/>
          <w:color w:val="auto"/>
          <w:spacing w:val="2"/>
          <w:sz w:val="24"/>
          <w:szCs w:val="24"/>
          <w:highlight w:val="none"/>
          <w:lang w:eastAsia="zh-CN"/>
        </w:rPr>
        <w:t xml:space="preserve">）</w:t>
      </w:r>
      <w:r>
        <w:rPr>
          <w:rFonts w:hint="eastAsia" w:ascii="宋体" w:hAnsi="宋体" w:eastAsia="宋体" w:cs="Century"/>
          <w:color w:val="auto"/>
          <w:spacing w:val="2"/>
          <w:sz w:val="24"/>
          <w:szCs w:val="24"/>
          <w:highlight w:val="none"/>
        </w:rPr>
        <w:t xml:space="preserve">本细则最终解释权归天目湖镇人民政府。</w:t>
      </w:r>
      <w:r/>
    </w:p>
    <w:p>
      <w:pPr>
        <w:ind w:firstLine="482"/>
        <w:spacing w:line="360" w:lineRule="auto"/>
        <w:tabs>
          <w:tab w:val="left" w:pos="5025" w:leader="none"/>
        </w:tabs>
        <w:rPr>
          <w:rFonts w:hint="eastAsia" w:ascii="宋体" w:hAnsi="宋体" w:eastAsia="宋体" w:cs="Century"/>
          <w:color w:val="auto"/>
          <w:spacing w:val="2"/>
          <w:szCs w:val="22"/>
          <w:highlight w:val="none"/>
        </w:rPr>
      </w:pPr>
      <w:r>
        <w:rPr>
          <w:rFonts w:hint="eastAsia" w:ascii="Times New Roman" w:hAnsi="Times New Roman" w:eastAsia="宋体" w:cs="Times New Roman"/>
          <w:b/>
          <w:color w:val="auto"/>
          <w:sz w:val="24"/>
          <w:highlight w:val="none"/>
          <w:lang w:val="en-US" w:eastAsia="zh-CN"/>
        </w:rPr>
        <w:t xml:space="preserve">4.4.2</w:t>
      </w:r>
      <w:r>
        <w:rPr>
          <w:rFonts w:hint="eastAsia" w:ascii="Times New Roman" w:hAnsi="Times New Roman" w:eastAsia="宋体" w:cs="Times New Roman"/>
          <w:b/>
          <w:color w:val="auto"/>
          <w:sz w:val="24"/>
          <w:highlight w:val="none"/>
        </w:rPr>
        <w:t xml:space="preserve">绿化管养奖惩措施</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1）</w:t>
      </w:r>
      <w:r>
        <w:rPr>
          <w:rFonts w:hint="eastAsia" w:ascii="宋体" w:hAnsi="宋体" w:eastAsia="宋体" w:cs="Century"/>
          <w:color w:val="auto"/>
          <w:spacing w:val="2"/>
          <w:sz w:val="24"/>
          <w:szCs w:val="24"/>
          <w:highlight w:val="none"/>
        </w:rPr>
        <w:t xml:space="preserve">绿化管养综合评分在95分以上者（含95分）按合同价正常结算；综合评分在90（含）-95分，每下降1分，扣款200元，以此类推计算；85（含）-90分，每下降1分，扣款500元；综合评分在80（含）-85分，每下降1分，扣款1000元；综合评分在80分以下者，扣除当月养护经费。</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2）</w:t>
      </w:r>
      <w:r>
        <w:rPr>
          <w:rFonts w:hint="eastAsia" w:ascii="宋体" w:hAnsi="宋体" w:eastAsia="宋体" w:cs="Century"/>
          <w:color w:val="auto"/>
          <w:spacing w:val="2"/>
          <w:sz w:val="24"/>
          <w:szCs w:val="24"/>
          <w:highlight w:val="none"/>
        </w:rPr>
        <w:t xml:space="preserve">有下列情形之一的，</w:t>
      </w:r>
      <w:r>
        <w:rPr>
          <w:rFonts w:hint="eastAsia" w:ascii="宋体" w:hAnsi="宋体" w:cs="Century"/>
          <w:color w:val="auto"/>
          <w:spacing w:val="2"/>
          <w:sz w:val="24"/>
          <w:szCs w:val="24"/>
          <w:highlight w:val="none"/>
          <w:lang w:val="en-US" w:eastAsia="zh-CN"/>
        </w:rPr>
        <w:t xml:space="preserve">采购人</w:t>
      </w:r>
      <w:r>
        <w:rPr>
          <w:rFonts w:hint="eastAsia" w:ascii="宋体" w:hAnsi="宋体" w:eastAsia="宋体" w:cs="Century"/>
          <w:color w:val="auto"/>
          <w:spacing w:val="2"/>
          <w:sz w:val="24"/>
          <w:szCs w:val="24"/>
          <w:highlight w:val="none"/>
        </w:rPr>
        <w:t xml:space="preserve">有权单方终止与</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的管养合同，当月的管养经费不予结算：</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①、未按</w:t>
      </w:r>
      <w:r>
        <w:rPr>
          <w:rFonts w:hint="eastAsia" w:ascii="宋体" w:hAnsi="宋体" w:cs="Century"/>
          <w:color w:val="auto"/>
          <w:spacing w:val="2"/>
          <w:sz w:val="24"/>
          <w:szCs w:val="24"/>
          <w:highlight w:val="none"/>
          <w:lang w:val="en-US" w:eastAsia="zh-CN"/>
        </w:rPr>
        <w:t xml:space="preserve">磋商</w:t>
      </w:r>
      <w:r>
        <w:rPr>
          <w:rFonts w:hint="eastAsia" w:ascii="宋体" w:hAnsi="宋体" w:eastAsia="宋体" w:cs="Century"/>
          <w:color w:val="auto"/>
          <w:spacing w:val="2"/>
          <w:sz w:val="24"/>
          <w:szCs w:val="24"/>
          <w:highlight w:val="none"/>
        </w:rPr>
        <w:t xml:space="preserve">文件的要求</w:t>
      </w:r>
      <w:r>
        <w:rPr>
          <w:rFonts w:hint="eastAsia" w:ascii="宋体" w:hAnsi="宋体" w:cs="宋体"/>
          <w:color w:val="auto"/>
          <w:sz w:val="24"/>
          <w:highlight w:val="none"/>
        </w:rPr>
        <w:t xml:space="preserve">组织养护工作的（如管养期间没有固定经营场所、机具缺失等）</w:t>
      </w:r>
      <w:r>
        <w:rPr>
          <w:rFonts w:hint="eastAsia" w:ascii="宋体" w:hAnsi="宋体" w:eastAsia="宋体" w:cs="Century"/>
          <w:color w:val="auto"/>
          <w:spacing w:val="2"/>
          <w:sz w:val="24"/>
          <w:szCs w:val="24"/>
          <w:highlight w:val="none"/>
        </w:rPr>
        <w:t xml:space="preserve">；</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②、连续二次考核综合评分在80分以下的；</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③、管养合同进行转包的；</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④、</w:t>
      </w:r>
      <w:r>
        <w:rPr>
          <w:rFonts w:hint="eastAsia" w:ascii="宋体" w:hAnsi="宋体" w:cs="宋体"/>
          <w:color w:val="auto"/>
          <w:sz w:val="24"/>
          <w:highlight w:val="none"/>
        </w:rPr>
        <w:t xml:space="preserve">因工人集体罢工、上访、群众举报和投诉等事件致使采购人名誉受损或其它损失的，除按考核要求扣分外，直接扣款2000元/次，情节特别严重的终止管养合同；</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3）</w:t>
      </w:r>
      <w:r>
        <w:rPr>
          <w:rFonts w:hint="eastAsia" w:ascii="宋体" w:hAnsi="宋体" w:eastAsia="宋体" w:cs="Century"/>
          <w:color w:val="auto"/>
          <w:spacing w:val="2"/>
          <w:sz w:val="24"/>
          <w:szCs w:val="24"/>
          <w:highlight w:val="none"/>
        </w:rPr>
        <w:t xml:space="preserve">绿化管养考核由日常考核巡查和月考核组成，</w:t>
      </w:r>
      <w:r>
        <w:rPr>
          <w:rFonts w:hint="eastAsia" w:ascii="宋体" w:hAnsi="宋体" w:cs="Century"/>
          <w:color w:val="auto"/>
          <w:spacing w:val="2"/>
          <w:sz w:val="24"/>
          <w:szCs w:val="24"/>
          <w:highlight w:val="none"/>
          <w:lang w:val="en-US" w:eastAsia="zh-CN"/>
        </w:rPr>
        <w:t xml:space="preserve">由采购人</w:t>
      </w:r>
      <w:r>
        <w:rPr>
          <w:rFonts w:hint="eastAsia" w:ascii="宋体" w:hAnsi="宋体" w:eastAsia="宋体" w:cs="Century"/>
          <w:color w:val="auto"/>
          <w:spacing w:val="2"/>
          <w:sz w:val="24"/>
          <w:szCs w:val="24"/>
          <w:highlight w:val="none"/>
        </w:rPr>
        <w:t xml:space="preserve">组织实施。</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4）</w:t>
      </w:r>
      <w:r>
        <w:rPr>
          <w:rFonts w:hint="eastAsia" w:ascii="宋体" w:hAnsi="宋体" w:cs="宋体"/>
          <w:color w:val="auto"/>
          <w:sz w:val="24"/>
          <w:highlight w:val="none"/>
        </w:rPr>
        <w:t xml:space="preserve">综合评分=</w:t>
      </w:r>
      <w:r>
        <w:rPr>
          <w:rFonts w:hint="eastAsia" w:ascii="宋体" w:hAnsi="宋体" w:cs="宋体"/>
          <w:color w:val="auto"/>
          <w:sz w:val="24"/>
          <w:highlight w:val="none"/>
          <w:lang w:eastAsia="zh-CN"/>
        </w:rPr>
        <w:t xml:space="preserve">100-日常考核扣分×30%-月度考核扣分×70%－特别条款扣分-其它扣分</w:t>
      </w:r>
      <w:r>
        <w:rPr>
          <w:rFonts w:hint="eastAsia" w:ascii="宋体" w:hAnsi="宋体" w:eastAsia="宋体" w:cs="Century"/>
          <w:color w:val="auto"/>
          <w:spacing w:val="2"/>
          <w:sz w:val="24"/>
          <w:szCs w:val="24"/>
          <w:highlight w:val="none"/>
        </w:rPr>
        <w:t xml:space="preserve">。</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5）</w:t>
      </w:r>
      <w:r>
        <w:rPr>
          <w:rFonts w:hint="eastAsia" w:ascii="宋体" w:hAnsi="宋体" w:eastAsia="宋体" w:cs="Century"/>
          <w:color w:val="auto"/>
          <w:spacing w:val="2"/>
          <w:sz w:val="24"/>
          <w:szCs w:val="24"/>
          <w:highlight w:val="none"/>
        </w:rPr>
        <w:t xml:space="preserve">暴露出的同一问题</w:t>
      </w:r>
      <w:r>
        <w:rPr>
          <w:rFonts w:hint="eastAsia" w:ascii="宋体" w:hAnsi="宋体" w:cs="Century"/>
          <w:color w:val="auto"/>
          <w:spacing w:val="2"/>
          <w:sz w:val="24"/>
          <w:szCs w:val="24"/>
          <w:highlight w:val="none"/>
          <w:lang w:val="en-US" w:eastAsia="zh-CN"/>
        </w:rPr>
        <w:t xml:space="preserve">采购人</w:t>
      </w:r>
      <w:r>
        <w:rPr>
          <w:rFonts w:hint="eastAsia" w:ascii="宋体" w:hAnsi="宋体" w:eastAsia="宋体" w:cs="Century"/>
          <w:color w:val="auto"/>
          <w:spacing w:val="2"/>
          <w:sz w:val="24"/>
          <w:szCs w:val="24"/>
          <w:highlight w:val="none"/>
        </w:rPr>
        <w:t xml:space="preserve">电话通知</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两次后仍未整改到位，</w:t>
      </w:r>
      <w:r>
        <w:rPr>
          <w:rFonts w:hint="eastAsia" w:ascii="宋体" w:hAnsi="宋体" w:cs="Century"/>
          <w:color w:val="auto"/>
          <w:spacing w:val="2"/>
          <w:sz w:val="24"/>
          <w:szCs w:val="24"/>
          <w:highlight w:val="none"/>
          <w:lang w:val="en-US" w:eastAsia="zh-CN"/>
        </w:rPr>
        <w:t xml:space="preserve">采购人</w:t>
      </w:r>
      <w:r>
        <w:rPr>
          <w:rFonts w:hint="eastAsia" w:ascii="宋体" w:hAnsi="宋体" w:eastAsia="宋体" w:cs="Century"/>
          <w:color w:val="auto"/>
          <w:spacing w:val="2"/>
          <w:sz w:val="24"/>
          <w:szCs w:val="24"/>
          <w:highlight w:val="none"/>
        </w:rPr>
        <w:t xml:space="preserve">将开出“整改通知书”，并在当月综合评分中扣除5分。</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6）</w:t>
      </w:r>
      <w:r>
        <w:rPr>
          <w:rFonts w:hint="eastAsia" w:ascii="宋体" w:hAnsi="宋体" w:eastAsia="宋体" w:cs="Century"/>
          <w:color w:val="auto"/>
          <w:spacing w:val="2"/>
          <w:sz w:val="24"/>
          <w:szCs w:val="24"/>
          <w:highlight w:val="none"/>
        </w:rPr>
        <w:t xml:space="preserve">日常检查过程中，出现下列情况时，除按规定扣分外，还需直接扣除养护经费：</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①、处于失管状态的地块，</w:t>
      </w:r>
      <w:r>
        <w:rPr>
          <w:rFonts w:hint="eastAsia" w:ascii="宋体" w:hAnsi="宋体" w:cs="Century"/>
          <w:color w:val="auto"/>
          <w:spacing w:val="2"/>
          <w:sz w:val="24"/>
          <w:szCs w:val="24"/>
          <w:highlight w:val="none"/>
          <w:lang w:val="en-US" w:eastAsia="zh-CN"/>
        </w:rPr>
        <w:t xml:space="preserve">采购人</w:t>
      </w:r>
      <w:r>
        <w:rPr>
          <w:rFonts w:hint="eastAsia" w:ascii="宋体" w:hAnsi="宋体" w:eastAsia="宋体" w:cs="Century"/>
          <w:color w:val="auto"/>
          <w:spacing w:val="2"/>
          <w:sz w:val="24"/>
          <w:szCs w:val="24"/>
          <w:highlight w:val="none"/>
        </w:rPr>
        <w:t xml:space="preserve">有权根据失管的严重程度，在扣分的基础上，直接扣除当月的养护费用；</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7）</w:t>
      </w:r>
      <w:r>
        <w:rPr>
          <w:rFonts w:hint="eastAsia" w:ascii="宋体" w:hAnsi="宋体" w:eastAsia="宋体" w:cs="Century"/>
          <w:color w:val="auto"/>
          <w:spacing w:val="2"/>
          <w:sz w:val="24"/>
          <w:szCs w:val="24"/>
          <w:highlight w:val="none"/>
        </w:rPr>
        <w:t xml:space="preserve">该措施中所指的扣款是每月考核综合评分扣款，</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在结算资金时结清。</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8）</w:t>
      </w:r>
      <w:r>
        <w:rPr>
          <w:rFonts w:hint="eastAsia" w:ascii="宋体" w:hAnsi="宋体" w:eastAsia="宋体" w:cs="Century"/>
          <w:color w:val="auto"/>
          <w:spacing w:val="2"/>
          <w:sz w:val="24"/>
          <w:szCs w:val="24"/>
          <w:highlight w:val="none"/>
        </w:rPr>
        <w:t xml:space="preserve">如不当养护造成绿化损失或严重社会影响，如草坪杂化、乔木修剪过重、地被花境长势衰退或严重不良等由</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负责更新，费用由</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自行承担。</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9）</w:t>
      </w:r>
      <w:r>
        <w:rPr>
          <w:rFonts w:hint="eastAsia" w:ascii="宋体" w:hAnsi="宋体" w:eastAsia="宋体" w:cs="Century"/>
          <w:color w:val="auto"/>
          <w:spacing w:val="2"/>
          <w:sz w:val="24"/>
          <w:szCs w:val="24"/>
          <w:highlight w:val="none"/>
        </w:rPr>
        <w:t xml:space="preserve">一年绿化养护施肥二到三次，可根据实际情况将施肥的图片和资料上报，年终没有上报图片和资料的，扣除最后季度考核费用10%。</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10）</w:t>
      </w:r>
      <w:r>
        <w:rPr>
          <w:rFonts w:hint="eastAsia" w:ascii="宋体" w:hAnsi="宋体" w:eastAsia="宋体" w:cs="Century"/>
          <w:color w:val="auto"/>
          <w:spacing w:val="2"/>
          <w:sz w:val="24"/>
          <w:szCs w:val="24"/>
          <w:highlight w:val="none"/>
        </w:rPr>
        <w:t xml:space="preserve">应急管理：</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必须制定灾害性天气应急预案，建立一支稳定的应急抢险队伍，并配备必须的应急设备，确保出现灾害性天气时，能够第一时间投入抢险救灾，并服从甲方另行安排的其它范围内的应急抢险任务，费用由</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承担。</w:t>
      </w:r>
      <w:r/>
    </w:p>
    <w:p>
      <w:pPr>
        <w:ind w:firstLine="488"/>
        <w:spacing w:line="360" w:lineRule="auto"/>
        <w:tabs>
          <w:tab w:val="left" w:pos="5025" w:leader="none"/>
        </w:tabs>
        <w:rPr>
          <w:rFonts w:hint="eastAsia" w:ascii="宋体" w:hAnsi="宋体" w:eastAsia="宋体" w:cs="宋体"/>
          <w:b/>
          <w:color w:val="auto"/>
          <w:sz w:val="36"/>
          <w:szCs w:val="36"/>
          <w:highlight w:val="none"/>
        </w:rPr>
      </w:pPr>
      <w:r>
        <w:rPr>
          <w:rFonts w:hint="eastAsia" w:ascii="宋体" w:hAnsi="宋体" w:eastAsia="宋体" w:cs="Century"/>
          <w:color w:val="auto"/>
          <w:spacing w:val="2"/>
          <w:sz w:val="24"/>
          <w:szCs w:val="24"/>
          <w:highlight w:val="none"/>
        </w:rPr>
        <w:t xml:space="preserve">11</w:t>
      </w:r>
      <w:r>
        <w:rPr>
          <w:rFonts w:hint="eastAsia" w:ascii="宋体" w:hAnsi="宋体" w:eastAsia="宋体" w:cs="Century"/>
          <w:color w:val="auto"/>
          <w:spacing w:val="2"/>
          <w:sz w:val="24"/>
          <w:szCs w:val="24"/>
          <w:highlight w:val="none"/>
          <w:lang w:eastAsia="zh-CN"/>
        </w:rPr>
        <w:t xml:space="preserve">）</w:t>
      </w:r>
      <w:r>
        <w:rPr>
          <w:rFonts w:hint="eastAsia" w:ascii="宋体" w:hAnsi="宋体" w:eastAsia="宋体" w:cs="Century"/>
          <w:color w:val="auto"/>
          <w:spacing w:val="2"/>
          <w:sz w:val="24"/>
          <w:szCs w:val="24"/>
          <w:highlight w:val="none"/>
        </w:rPr>
        <w:t xml:space="preserve">安全责任事故等风险问题：</w:t>
      </w:r>
      <w:r>
        <w:rPr>
          <w:rFonts w:hint="eastAsia" w:ascii="宋体" w:hAnsi="宋体" w:cs="Century"/>
          <w:color w:val="auto"/>
          <w:spacing w:val="2"/>
          <w:sz w:val="24"/>
          <w:szCs w:val="24"/>
          <w:highlight w:val="none"/>
          <w:lang w:val="en-US" w:eastAsia="zh-CN"/>
        </w:rPr>
        <w:t xml:space="preserve">管养</w:t>
      </w:r>
      <w:r>
        <w:rPr>
          <w:rFonts w:hint="eastAsia" w:ascii="宋体" w:hAnsi="宋体" w:eastAsia="宋体" w:cs="Century"/>
          <w:color w:val="auto"/>
          <w:spacing w:val="2"/>
          <w:sz w:val="24"/>
          <w:szCs w:val="24"/>
          <w:highlight w:val="none"/>
        </w:rPr>
        <w:t xml:space="preserve">期内，养护单位须加强安全生产管理，积极主动采取防范措施，解除安全隐患，同时为养护工人购买保险等方式来规避风险。如养护标段中发生安全事故、人员伤亡事件，由</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负责处理解决，处理过程中发生的费用（包括赔偿费用）由</w:t>
      </w:r>
      <w:r>
        <w:rPr>
          <w:rFonts w:hint="eastAsia" w:ascii="宋体" w:hAnsi="宋体" w:cs="Century"/>
          <w:color w:val="auto"/>
          <w:spacing w:val="2"/>
          <w:sz w:val="24"/>
          <w:szCs w:val="24"/>
          <w:highlight w:val="none"/>
          <w:lang w:val="en-US" w:eastAsia="zh-CN"/>
        </w:rPr>
        <w:t xml:space="preserve">乙方</w:t>
      </w:r>
      <w:r>
        <w:rPr>
          <w:rFonts w:hint="eastAsia" w:ascii="宋体" w:hAnsi="宋体" w:eastAsia="宋体" w:cs="Century"/>
          <w:color w:val="auto"/>
          <w:spacing w:val="2"/>
          <w:sz w:val="24"/>
          <w:szCs w:val="24"/>
          <w:highlight w:val="none"/>
        </w:rPr>
        <w:t xml:space="preserve">承担。</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83"/>
        <w:rPr>
          <w:rFonts w:hint="default"/>
          <w:color w:val="auto"/>
          <w:highlight w:val="none"/>
          <w:lang w:val="en-US" w:eastAsia="zh-CN"/>
        </w:rPr>
      </w:pPr>
      <w:r>
        <w:rPr>
          <w:rFonts w:hint="default"/>
          <w:color w:val="auto"/>
          <w:highlight w:val="none"/>
          <w:lang w:val="en-US" w:eastAsia="zh-CN"/>
        </w:rPr>
      </w:r>
      <w:r/>
    </w:p>
    <w:p>
      <w:pPr>
        <w:pStyle w:val="1069"/>
        <w:contextualSpacing/>
        <w:ind w:firstLine="480"/>
        <w:jc w:val="left"/>
        <w:spacing w:line="360" w:lineRule="auto"/>
        <w:rPr>
          <w:rFonts w:hint="default" w:eastAsia="宋体"/>
          <w:b/>
          <w:bCs/>
          <w:color w:val="auto"/>
          <w:sz w:val="36"/>
          <w:szCs w:val="36"/>
          <w:highlight w:val="none"/>
          <w:lang w:val="en-US" w:eastAsia="zh-CN"/>
        </w:rPr>
      </w:pPr>
      <w:r>
        <w:rPr>
          <w:rFonts w:hint="default" w:eastAsia="宋体"/>
          <w:b/>
          <w:bCs/>
          <w:color w:val="auto"/>
          <w:sz w:val="36"/>
          <w:szCs w:val="36"/>
          <w:highlight w:val="none"/>
          <w:lang w:val="en-US" w:eastAsia="zh-CN"/>
        </w:rPr>
      </w:r>
      <w:r/>
    </w:p>
    <w:p>
      <w:pPr>
        <w:ind w:firstLine="723"/>
        <w:jc w:val="center"/>
        <w:spacing w:line="360" w:lineRule="auto"/>
        <w:widowControl/>
        <w:rPr>
          <w:b/>
          <w:color w:val="auto"/>
          <w:sz w:val="36"/>
          <w:szCs w:val="36"/>
          <w:highlight w:val="none"/>
        </w:rPr>
        <w:sectPr>
          <w:footnotePr/>
          <w:endnotePr/>
          <w:type w:val="nextPage"/>
          <w:pgSz w:w="11907" w:h="16840" w:orient="portrait"/>
          <w:pgMar w:top="1304" w:right="1304" w:bottom="1304" w:left="1304" w:header="851" w:footer="851" w:gutter="0"/>
          <w:cols w:num="1" w:sep="0" w:space="1701" w:equalWidth="1"/>
          <w:docGrid w:linePitch="360"/>
        </w:sectPr>
      </w:pPr>
      <w:r>
        <w:rPr>
          <w:b/>
          <w:color w:val="auto"/>
          <w:sz w:val="36"/>
          <w:szCs w:val="36"/>
          <w:highlight w:val="none"/>
        </w:rPr>
      </w:r>
      <w:r/>
    </w:p>
    <w:p>
      <w:pPr>
        <w:ind w:firstLine="723"/>
        <w:jc w:val="center"/>
        <w:spacing w:line="360" w:lineRule="auto"/>
        <w:widowControl/>
        <w:rPr>
          <w:b/>
          <w:color w:val="auto"/>
          <w:sz w:val="36"/>
          <w:szCs w:val="36"/>
          <w:highlight w:val="none"/>
        </w:rPr>
      </w:pPr>
      <w:r>
        <w:rPr>
          <w:b/>
          <w:color w:val="auto"/>
          <w:sz w:val="36"/>
          <w:szCs w:val="36"/>
          <w:highlight w:val="none"/>
        </w:rPr>
      </w:r>
      <w:r/>
    </w:p>
    <w:p>
      <w:pPr>
        <w:ind w:firstLine="723"/>
        <w:jc w:val="center"/>
        <w:spacing w:line="360" w:lineRule="auto"/>
        <w:widowControl/>
        <w:rPr>
          <w:color w:val="auto"/>
          <w:sz w:val="24"/>
          <w:highlight w:val="none"/>
        </w:rPr>
      </w:pPr>
      <w:r>
        <w:rPr>
          <w:b/>
          <w:color w:val="auto"/>
          <w:sz w:val="36"/>
          <w:szCs w:val="36"/>
          <w:highlight w:val="none"/>
        </w:rPr>
        <w:t xml:space="preserve">第五章  合同草案条款</w:t>
      </w:r>
      <w:bookmarkEnd w:id="670"/>
      <w:r/>
      <w:r/>
    </w:p>
    <w:p>
      <w:pPr>
        <w:keepLines w:val="0"/>
        <w:keepNext w:val="0"/>
        <w:pageBreakBefore w:val="0"/>
        <w:spacing w:line="48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keepLines w:val="0"/>
        <w:keepNext w:val="0"/>
        <w:pageBreakBefore w:val="0"/>
        <w:spacing w:line="48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jc w:val="center"/>
        <w:keepLines w:val="0"/>
        <w:keepNext w:val="0"/>
        <w:pageBreakBefore w:val="0"/>
        <w:spacing w:line="480" w:lineRule="auto"/>
        <w:rPr>
          <w:rFonts w:hint="default" w:ascii="宋体" w:hAnsi="宋体" w:cs="宋体"/>
          <w:color w:val="auto"/>
          <w:sz w:val="28"/>
          <w:szCs w:val="28"/>
          <w:highlight w:val="none"/>
        </w:rPr>
      </w:pPr>
      <w:r>
        <w:rPr>
          <w:rFonts w:hint="eastAsia" w:ascii="宋体" w:hAnsi="宋体" w:cs="宋体"/>
          <w:color w:val="auto"/>
          <w:sz w:val="28"/>
          <w:szCs w:val="28"/>
          <w:highlight w:val="none"/>
        </w:rPr>
        <w:t xml:space="preserve">（主要条款）</w:t>
      </w:r>
      <w:r/>
    </w:p>
    <w:p>
      <w:pPr>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签约地点：               签约时间：  年   月   日</w:t>
      </w:r>
      <w:r/>
    </w:p>
    <w:tbl>
      <w:tblPr>
        <w:tblStyle w:val="75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71"/>
        <w:gridCol w:w="4409"/>
      </w:tblGrid>
      <w:tr>
        <w:trPr/>
        <w:tc>
          <w:tcPr>
            <w:tcW w:w="4771" w:type="dxa"/>
            <w:vAlign w:val="top"/>
            <w:textDirection w:val="lrTb"/>
            <w:noWrap w:val="false"/>
          </w:tcPr>
          <w:p>
            <w:pPr>
              <w:jc w:val="left"/>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采购人：（甲方）</w:t>
            </w:r>
            <w:r/>
          </w:p>
        </w:tc>
        <w:tc>
          <w:tcPr>
            <w:tcW w:w="4409" w:type="dxa"/>
            <w:vAlign w:val="top"/>
            <w:textDirection w:val="lrTb"/>
            <w:noWrap w:val="false"/>
          </w:tcPr>
          <w:p>
            <w:pPr>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供应商：（乙方）</w:t>
            </w:r>
            <w:r/>
          </w:p>
        </w:tc>
      </w:tr>
    </w:tbl>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根据《中华人民共和国政府采购法》、《中华人民共和国民法典》等法律法规的规定，甲乙双方按照本项目的招标结果签订本合同。</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一、项目概况及合同金额</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1. 项目编号：</w:t>
      </w:r>
      <w:r>
        <w:rPr>
          <w:rFonts w:hint="eastAsia" w:ascii="宋体" w:hAnsi="宋体" w:cs="宋体"/>
          <w:color w:val="auto"/>
          <w:sz w:val="24"/>
          <w:highlight w:val="none"/>
          <w:u w:val="single"/>
        </w:rPr>
        <w:t xml:space="preserve">                 </w:t>
      </w:r>
      <w:r/>
    </w:p>
    <w:p>
      <w:pPr>
        <w:ind w:firstLine="480"/>
        <w:keepLines w:val="0"/>
        <w:keepNext w:val="0"/>
        <w:pageBreakBefore w:val="0"/>
        <w:spacing w:line="480" w:lineRule="auto"/>
        <w:rPr>
          <w:rFonts w:hint="default" w:ascii="宋体" w:hAnsi="宋体" w:cs="宋体"/>
          <w:color w:val="auto"/>
          <w:sz w:val="24"/>
          <w:highlight w:val="none"/>
          <w:u w:val="single"/>
        </w:rPr>
      </w:pPr>
      <w:r>
        <w:rPr>
          <w:rFonts w:hint="eastAsia" w:ascii="宋体" w:hAnsi="宋体" w:cs="宋体"/>
          <w:color w:val="auto"/>
          <w:sz w:val="24"/>
          <w:highlight w:val="none"/>
        </w:rPr>
        <w:t xml:space="preserve">2. 项目名称：</w:t>
      </w:r>
      <w:r>
        <w:rPr>
          <w:rFonts w:hint="eastAsia" w:ascii="宋体" w:hAnsi="宋体" w:cs="宋体"/>
          <w:color w:val="auto"/>
          <w:sz w:val="24"/>
          <w:highlight w:val="none"/>
          <w:u w:val="single"/>
        </w:rPr>
        <w:t xml:space="preserve">                 </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3. 养护范围及内容：</w:t>
      </w:r>
      <w:r>
        <w:rPr>
          <w:rFonts w:hint="eastAsia" w:ascii="宋体" w:hAnsi="宋体" w:cs="宋体"/>
          <w:color w:val="auto"/>
          <w:sz w:val="24"/>
          <w:highlight w:val="none"/>
          <w:u w:val="single"/>
        </w:rPr>
        <w:t xml:space="preserve">                  </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4. 合同金额：人民币元/年(大写：)</w:t>
      </w:r>
      <w:r/>
    </w:p>
    <w:p>
      <w:pPr>
        <w:ind w:firstLine="480"/>
        <w:keepLines w:val="0"/>
        <w:keepNext w:val="0"/>
        <w:pageBreakBefore w:val="0"/>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本项目为固定总价。</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合同金额应为完成本项目年度服务所需的全部费用。包括但不限于：人工费、管理费、机具费、五金、保险、福利、利润、各种税费、不可预见费用等一切费用。</w:t>
      </w:r>
      <w:r/>
    </w:p>
    <w:p>
      <w:pPr>
        <w:numPr>
          <w:ilvl w:val="0"/>
          <w:numId w:val="14"/>
        </w:numPr>
        <w:ind w:left="500" w:hanging="500"/>
        <w:keepLines w:val="0"/>
        <w:keepNext w:val="0"/>
        <w:pageBreakBefore w:val="0"/>
        <w:spacing w:line="480" w:lineRule="auto"/>
        <w:rPr>
          <w:rFonts w:hint="eastAsia" w:ascii="宋体" w:hAnsi="宋体"/>
          <w:color w:val="auto"/>
          <w:sz w:val="24"/>
          <w:highlight w:val="none"/>
        </w:rPr>
      </w:pPr>
      <w:r>
        <w:rPr>
          <w:rFonts w:hint="eastAsia" w:ascii="宋体" w:hAnsi="宋体" w:cs="宋体"/>
          <w:color w:val="auto"/>
          <w:sz w:val="24"/>
          <w:highlight w:val="none"/>
        </w:rPr>
        <w:t xml:space="preserve">管养合同期限：一年（年月日至年月日）</w:t>
      </w:r>
      <w:r>
        <w:rPr>
          <w:rFonts w:hint="eastAsia" w:ascii="宋体" w:hAnsi="宋体"/>
          <w:color w:val="auto"/>
          <w:sz w:val="24"/>
          <w:highlight w:val="none"/>
        </w:rPr>
        <w:t xml:space="preserve">，</w:t>
      </w:r>
      <w:r/>
    </w:p>
    <w:p>
      <w:pPr>
        <w:numPr>
          <w:ilvl w:val="0"/>
          <w:numId w:val="14"/>
        </w:numPr>
        <w:ind w:left="500" w:hanging="500"/>
        <w:keepLines w:val="0"/>
        <w:keepNext w:val="0"/>
        <w:pageBreakBefore w:val="0"/>
        <w:spacing w:line="48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付款方式</w:t>
      </w:r>
      <w:r/>
    </w:p>
    <w:p>
      <w:pPr>
        <w:contextualSpacing/>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管养费按季度支付，于次季度首月底前支付上季度管养费（扣除考核扣款）。</w:t>
      </w:r>
      <w:r/>
    </w:p>
    <w:p>
      <w:pPr>
        <w:contextualSpacing/>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季度管养费=合同价（扣除甲供材）/4。</w:t>
      </w:r>
      <w:r/>
    </w:p>
    <w:p>
      <w:pPr>
        <w:contextualSpacing/>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甲供材按实结算。</w:t>
      </w:r>
      <w:r/>
    </w:p>
    <w:p>
      <w:pPr>
        <w:ind w:firstLine="480"/>
        <w:keepLines w:val="0"/>
        <w:keepNext w:val="0"/>
        <w:pageBreakBefore w:val="0"/>
        <w:spacing w:line="48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支付时，乙方应当向甲方开具相应价款发票，甲方收到发票后支付相应费用。</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、付款方式：银行转账</w:t>
      </w:r>
      <w:r/>
    </w:p>
    <w:p>
      <w:pPr>
        <w:ind w:firstLine="480"/>
        <w:keepLines w:val="0"/>
        <w:keepNext w:val="0"/>
        <w:pageBreakBefore w:val="0"/>
        <w:spacing w:line="48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、根据国家现行税法对乙方征收的与本合同有关的一切税费均由乙方承担</w:t>
      </w:r>
      <w:r>
        <w:rPr>
          <w:rFonts w:hint="eastAsia" w:ascii="宋体" w:hAnsi="宋体" w:cs="宋体"/>
          <w:color w:val="auto"/>
          <w:sz w:val="24"/>
          <w:highlight w:val="none"/>
          <w:lang w:eastAsia="zh-CN"/>
        </w:rPr>
        <w:t xml:space="preserve">。</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四、项目负责人</w:t>
      </w:r>
      <w:r/>
    </w:p>
    <w:p>
      <w:pPr>
        <w:ind w:firstLine="480"/>
        <w:keepLines w:val="0"/>
        <w:keepNext w:val="0"/>
        <w:pageBreakBefore w:val="0"/>
        <w:spacing w:line="480" w:lineRule="auto"/>
        <w:rPr>
          <w:rFonts w:hint="default" w:ascii="宋体" w:hAnsi="宋体" w:cs="宋体"/>
          <w:color w:val="auto"/>
          <w:sz w:val="24"/>
          <w:highlight w:val="none"/>
          <w:u w:val="single"/>
        </w:rPr>
      </w:pPr>
      <w:r>
        <w:rPr>
          <w:rFonts w:hint="eastAsia" w:ascii="宋体" w:hAnsi="宋体" w:cs="宋体"/>
          <w:color w:val="auto"/>
          <w:sz w:val="24"/>
          <w:highlight w:val="none"/>
        </w:rPr>
        <w:t xml:space="preserve">项目负责人：</w:t>
      </w:r>
      <w:r>
        <w:rPr>
          <w:rFonts w:hint="eastAsia" w:ascii="宋体" w:hAnsi="宋体" w:cs="宋体"/>
          <w:color w:val="auto"/>
          <w:sz w:val="24"/>
          <w:highlight w:val="none"/>
          <w:u w:val="single"/>
        </w:rPr>
        <w:t xml:space="preserve">        </w:t>
      </w:r>
      <w:r/>
    </w:p>
    <w:p>
      <w:pPr>
        <w:ind w:left="480" w:right="18"/>
        <w:keepLines w:val="0"/>
        <w:keepNext w:val="0"/>
        <w:pageBreakBefore w:val="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五、绿地管养要求：详见合同附件</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p>
    <w:p>
      <w:pPr>
        <w:numPr>
          <w:ilvl w:val="0"/>
          <w:numId w:val="15"/>
        </w:numPr>
        <w:ind w:right="18"/>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管理及考核</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1、绿地管养工作由甲方组织实施。考核实行百分制，当月考核综合评分分数低于80分为不合格。</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2、乙方在管养期内出现以下问题之一，养护合同将自动终止：</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（1）养护年度中有连续两次月考核不合格的（考核评分80分以下）。</w:t>
      </w:r>
      <w:r/>
    </w:p>
    <w:p>
      <w:pPr>
        <w:ind w:firstLine="48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（2）如在管养期内，发生重大质量、安全方面的责任事故，对绿化景观造成严重破坏或造成严重社会影响的，甲方将取消其管养资格，扣除管养保证金，并依法向乙方追究相应法律和经济责任。</w:t>
      </w:r>
      <w:r/>
    </w:p>
    <w:p>
      <w:pPr>
        <w:ind w:firstLine="360"/>
        <w:keepLines w:val="0"/>
        <w:keepNext w:val="0"/>
        <w:pageBreakBefore w:val="0"/>
        <w:spacing w:line="480" w:lineRule="auto"/>
        <w:rPr>
          <w:rFonts w:hint="default" w:ascii="宋体" w:hAnsi="宋体" w:cs="宋体"/>
          <w:color w:val="auto"/>
          <w:sz w:val="24"/>
          <w:highlight w:val="none"/>
        </w:rPr>
      </w:pPr>
      <w:r>
        <w:rPr>
          <w:rFonts w:hint="eastAsia" w:ascii="宋体" w:hAnsi="宋体" w:cs="宋体"/>
          <w:color w:val="auto"/>
          <w:sz w:val="24"/>
          <w:highlight w:val="none"/>
        </w:rPr>
        <w:t xml:space="preserve">（3）管养现场负责人随意更换的。</w:t>
      </w:r>
      <w:r/>
    </w:p>
    <w:p>
      <w:pPr>
        <w:ind w:firstLine="360"/>
        <w:keepLines w:val="0"/>
        <w:keepNext w:val="0"/>
        <w:pageBreakBefore w:val="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（4）管养合同进行转包的。</w:t>
      </w:r>
      <w:r/>
    </w:p>
    <w:p>
      <w:pPr>
        <w:ind w:firstLine="480"/>
        <w:keepLines w:val="0"/>
        <w:keepNext w:val="0"/>
        <w:pageBreakBefore w:val="0"/>
        <w:spacing w:line="48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绿化管养考核实施细则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详见附件2</w:t>
      </w:r>
      <w:r>
        <w:rPr>
          <w:rFonts w:hint="eastAsia" w:ascii="宋体" w:hAnsi="宋体" w:cs="宋体"/>
          <w:color w:val="auto"/>
          <w:sz w:val="24"/>
          <w:highlight w:val="none"/>
          <w:lang w:eastAsia="zh-CN"/>
        </w:rPr>
        <w:t xml:space="preserve">）</w:t>
      </w:r>
      <w:r/>
    </w:p>
    <w:p>
      <w:pPr>
        <w:ind w:firstLine="480"/>
        <w:keepLines w:val="0"/>
        <w:keepNext w:val="0"/>
        <w:pageBreakBefore w:val="0"/>
        <w:spacing w:line="480" w:lineRule="auto"/>
        <w:rPr>
          <w:rFonts w:hint="eastAsia" w:ascii="宋体" w:hAnsi="宋体"/>
          <w:color w:val="auto"/>
          <w:sz w:val="24"/>
          <w:highlight w:val="none"/>
        </w:rPr>
      </w:pPr>
      <w:r>
        <w:rPr>
          <w:rFonts w:hint="eastAsia" w:ascii="宋体" w:hAnsi="宋体"/>
          <w:color w:val="auto"/>
          <w:sz w:val="24"/>
          <w:highlight w:val="none"/>
        </w:rPr>
        <w:t xml:space="preserve">七、乙方管理责任</w:t>
      </w:r>
      <w:r/>
    </w:p>
    <w:p>
      <w:pPr>
        <w:pStyle w:val="764"/>
        <w:ind w:firstLine="480"/>
        <w:jc w:val="left"/>
        <w:keepLines w:val="0"/>
        <w:keepNext w:val="0"/>
        <w:pageBreakBefore w:val="0"/>
        <w:spacing w:line="480" w:lineRule="auto"/>
        <w:widowControl w:val="off"/>
        <w:rPr>
          <w:rFonts w:hint="eastAsia"/>
          <w:color w:val="auto"/>
          <w:highlight w:val="none"/>
          <w:lang w:val="en-US" w:eastAsia="zh-CN"/>
        </w:rPr>
      </w:pPr>
      <w:r>
        <w:rPr>
          <w:rFonts w:hint="eastAsia"/>
          <w:color w:val="auto"/>
          <w:highlight w:val="none"/>
          <w:lang w:val="en-US" w:eastAsia="zh-CN"/>
        </w:rPr>
        <w:t xml:space="preserve">1、乙方需配备足够的绿化养护设备及人员。</w:t>
      </w:r>
      <w:r/>
    </w:p>
    <w:p>
      <w:pPr>
        <w:ind w:firstLine="480"/>
        <w:jc w:val="left"/>
        <w:keepLines w:val="0"/>
        <w:keepNext w:val="0"/>
        <w:pageBreakBefore w:val="0"/>
        <w:spacing w:line="480" w:lineRule="auto"/>
        <w:widowControl w:val="off"/>
        <w:rPr>
          <w:rFonts w:hint="eastAsia"/>
          <w:color w:val="auto"/>
          <w:sz w:val="24"/>
          <w:highlight w:val="none"/>
        </w:rPr>
      </w:pPr>
      <w:r>
        <w:rPr>
          <w:rFonts w:hint="eastAsia"/>
          <w:color w:val="auto"/>
          <w:sz w:val="24"/>
          <w:highlight w:val="none"/>
        </w:rPr>
        <w:t xml:space="preserve">2、乙方必须给养护人员办理意外伤害等必要的保险</w:t>
      </w:r>
      <w:r/>
    </w:p>
    <w:p>
      <w:pPr>
        <w:pStyle w:val="764"/>
        <w:ind w:firstLine="480"/>
        <w:jc w:val="left"/>
        <w:keepLines w:val="0"/>
        <w:keepNext w:val="0"/>
        <w:pageBreakBefore w:val="0"/>
        <w:spacing w:line="480" w:lineRule="auto"/>
        <w:widowControl w:val="off"/>
        <w:rPr>
          <w:rFonts w:hint="eastAsia"/>
          <w:color w:val="auto"/>
          <w:highlight w:val="none"/>
          <w:lang w:val="en-US" w:eastAsia="zh-CN"/>
        </w:rPr>
      </w:pPr>
      <w:r>
        <w:rPr>
          <w:rFonts w:hint="eastAsia"/>
          <w:color w:val="auto"/>
          <w:highlight w:val="none"/>
          <w:lang w:val="en-US" w:eastAsia="zh-CN"/>
        </w:rPr>
        <w:t xml:space="preserve">3、乙方的原因造成劳资纠纷或用工纠纷等，一律由乙方负责解决，甲方不承担任何责任。在养护管理中发生各类人身伤亡等安全事故包括第三方责任和经济纠纷，所有责任由乙方承担，与甲方无关。</w:t>
      </w:r>
      <w:r/>
    </w:p>
    <w:p>
      <w:pPr>
        <w:pStyle w:val="764"/>
        <w:ind w:firstLine="480"/>
        <w:jc w:val="left"/>
        <w:keepLines w:val="0"/>
        <w:keepNext w:val="0"/>
        <w:pageBreakBefore w:val="0"/>
        <w:spacing w:line="480" w:lineRule="auto"/>
        <w:widowControl w:val="off"/>
        <w:rPr>
          <w:rFonts w:hint="default"/>
          <w:color w:val="auto"/>
          <w:highlight w:val="none"/>
          <w:lang w:val="en-US" w:eastAsia="zh-CN"/>
        </w:rPr>
      </w:pPr>
      <w:r>
        <w:rPr>
          <w:rFonts w:hint="eastAsia"/>
          <w:color w:val="auto"/>
          <w:highlight w:val="none"/>
          <w:lang w:val="en-US" w:eastAsia="zh-CN"/>
        </w:rPr>
        <w:t xml:space="preserve">4、终止合同后养护公司应继续服务至后续施工单位入场，并完成相应手续的交接。</w:t>
      </w:r>
      <w:r/>
    </w:p>
    <w:p>
      <w:pPr>
        <w:ind w:firstLine="480"/>
        <w:keepLines w:val="0"/>
        <w:keepNext w:val="0"/>
        <w:pageBreakBefore w:val="0"/>
        <w:spacing w:line="480" w:lineRule="auto"/>
        <w:widowControl w:val="off"/>
        <w:rPr>
          <w:rFonts w:hint="default"/>
          <w:color w:val="auto"/>
          <w:highlight w:val="none"/>
        </w:rPr>
      </w:pPr>
      <w:r>
        <w:rPr>
          <w:rFonts w:hint="eastAsia"/>
          <w:color w:val="auto"/>
          <w:sz w:val="24"/>
          <w:highlight w:val="none"/>
        </w:rPr>
        <w:t xml:space="preserve">八、在管养期内，如遇节庆、综合整治等重大活动，乙方应服从安排，听从甲方统一调配，发生费用由乙方承担。因政府或上级部门政策调整等原因，改变或调整绿地管养范围，乙方应顾全大局，无条件服从，管养费用同比例进行计算调整。</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九、合同生效及其它：</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1、生效：本合同自双方签字盖章之日起成立，并依法生效。</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2、下列文件均为本合同不可分割的部分：</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1)合同书及补充协议，</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highlight w:val="none"/>
        </w:rPr>
        <w:t xml:space="preserve">成交通知书</w:t>
      </w:r>
      <w:r>
        <w:rPr>
          <w:rFonts w:hint="eastAsia" w:ascii="宋体" w:hAnsi="宋体"/>
          <w:color w:val="auto"/>
          <w:sz w:val="24"/>
          <w:highlight w:val="none"/>
        </w:rPr>
        <w:t xml:space="preserve">，</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3)询标纪要(如有)，</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4)甲乙双方签署的文件、电传、协商纪要等文件，</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5)</w:t>
      </w:r>
      <w:r>
        <w:rPr>
          <w:rFonts w:hint="eastAsia" w:ascii="宋体" w:hAnsi="宋体" w:cs="宋体"/>
          <w:color w:val="auto"/>
          <w:sz w:val="24"/>
          <w:highlight w:val="none"/>
        </w:rPr>
        <w:t xml:space="preserve">竞争性磋商采购文件及其补充文件</w:t>
      </w:r>
      <w:r>
        <w:rPr>
          <w:rFonts w:hint="eastAsia" w:ascii="宋体" w:hAnsi="宋体"/>
          <w:color w:val="auto"/>
          <w:sz w:val="24"/>
          <w:highlight w:val="none"/>
        </w:rPr>
        <w:t xml:space="preserve">，</w:t>
      </w:r>
      <w:r/>
    </w:p>
    <w:p>
      <w:pPr>
        <w:ind w:firstLine="480"/>
        <w:keepLines w:val="0"/>
        <w:keepNext w:val="0"/>
        <w:pageBreakBefore w:val="0"/>
        <w:spacing w:line="480" w:lineRule="auto"/>
        <w:rPr>
          <w:rFonts w:hint="default"/>
          <w:color w:val="auto"/>
          <w:highlight w:val="none"/>
        </w:rPr>
      </w:pPr>
      <w:r>
        <w:rPr>
          <w:rFonts w:hint="eastAsia" w:ascii="宋体" w:hAnsi="宋体"/>
          <w:color w:val="auto"/>
          <w:sz w:val="24"/>
          <w:highlight w:val="none"/>
        </w:rPr>
        <w:t xml:space="preserve">6)</w:t>
      </w:r>
      <w:r>
        <w:rPr>
          <w:rFonts w:hint="eastAsia" w:ascii="宋体" w:hAnsi="宋体" w:cs="宋体"/>
          <w:color w:val="auto"/>
          <w:sz w:val="24"/>
          <w:highlight w:val="none"/>
        </w:rPr>
        <w:t xml:space="preserve">响应文件及其补充文件</w:t>
      </w:r>
      <w:r>
        <w:rPr>
          <w:rFonts w:hint="eastAsia" w:ascii="宋体" w:hAnsi="宋体"/>
          <w:color w:val="auto"/>
          <w:sz w:val="24"/>
          <w:highlight w:val="none"/>
        </w:rPr>
        <w:t xml:space="preserve">。</w:t>
      </w:r>
      <w:r/>
    </w:p>
    <w:p>
      <w:pPr>
        <w:ind w:firstLine="480"/>
        <w:keepLines w:val="0"/>
        <w:keepNext w:val="0"/>
        <w:pageBreakBefore w:val="0"/>
        <w:spacing w:line="480" w:lineRule="auto"/>
        <w:rPr>
          <w:rFonts w:hint="default" w:ascii="宋体" w:hAnsi="宋体"/>
          <w:color w:val="auto"/>
          <w:sz w:val="24"/>
          <w:highlight w:val="none"/>
        </w:rPr>
      </w:pPr>
      <w:r>
        <w:rPr>
          <w:rFonts w:hint="eastAsia" w:ascii="宋体" w:hAnsi="宋体"/>
          <w:color w:val="auto"/>
          <w:sz w:val="24"/>
          <w:highlight w:val="none"/>
        </w:rPr>
        <w:t xml:space="preserve">十、</w:t>
      </w:r>
      <w:r>
        <w:rPr>
          <w:rFonts w:hint="eastAsia" w:ascii="宋体" w:hAnsi="宋体"/>
          <w:bCs/>
          <w:color w:val="auto"/>
          <w:sz w:val="24"/>
          <w:highlight w:val="none"/>
        </w:rPr>
        <w:t xml:space="preserve">合同份数：</w:t>
      </w:r>
      <w:r>
        <w:rPr>
          <w:rFonts w:hint="eastAsia" w:ascii="宋体" w:hAnsi="宋体"/>
          <w:color w:val="auto"/>
          <w:sz w:val="24"/>
          <w:highlight w:val="none"/>
        </w:rPr>
        <w:t xml:space="preserve">本合同一式</w:t>
      </w:r>
      <w:r>
        <w:rPr>
          <w:rFonts w:hint="eastAsia" w:ascii="宋体" w:hAnsi="宋体"/>
          <w:color w:val="auto"/>
          <w:sz w:val="24"/>
          <w:highlight w:val="none"/>
          <w:lang w:val="en-US" w:eastAsia="zh-CN"/>
        </w:rPr>
        <w:t xml:space="preserve">陆</w:t>
      </w:r>
      <w:r>
        <w:rPr>
          <w:rFonts w:hint="eastAsia" w:ascii="宋体" w:hAnsi="宋体"/>
          <w:color w:val="auto"/>
          <w:sz w:val="24"/>
          <w:highlight w:val="none"/>
        </w:rPr>
        <w:t xml:space="preserve">份，甲乙双方各执</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份。</w:t>
      </w:r>
      <w:r/>
    </w:p>
    <w:tbl>
      <w:tblPr>
        <w:tblStyle w:val="759"/>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503"/>
        </w:trPr>
        <w:tc>
          <w:tcPr>
            <w:tcBorders>
              <w:top w:val="single" w:color="auto" w:sz="12"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甲方（盖章）：</w:t>
            </w:r>
            <w:r/>
          </w:p>
          <w:p>
            <w:pPr>
              <w:rPr>
                <w:rFonts w:hint="default" w:ascii="宋体" w:hAnsi="宋体"/>
                <w:color w:val="auto"/>
                <w:sz w:val="24"/>
                <w:highlight w:val="none"/>
              </w:rPr>
            </w:pPr>
            <w:r>
              <w:rPr>
                <w:rFonts w:hint="default" w:ascii="宋体" w:hAnsi="宋体"/>
                <w:color w:val="auto"/>
                <w:sz w:val="24"/>
                <w:highlight w:val="none"/>
              </w:rPr>
            </w:r>
            <w:r/>
          </w:p>
          <w:p>
            <w:pPr>
              <w:rPr>
                <w:rFonts w:hint="default" w:ascii="宋体" w:hAnsi="宋体"/>
                <w:color w:val="auto"/>
                <w:sz w:val="24"/>
                <w:highlight w:val="none"/>
              </w:rPr>
            </w:pPr>
            <w:r>
              <w:rPr>
                <w:rFonts w:hint="default" w:ascii="宋体" w:hAnsi="宋体"/>
                <w:color w:val="auto"/>
                <w:sz w:val="24"/>
                <w:highlight w:val="none"/>
              </w:rPr>
            </w:r>
            <w:r/>
          </w:p>
        </w:tc>
        <w:tc>
          <w:tcPr>
            <w:tcBorders>
              <w:top w:val="single" w:color="auto" w:sz="12"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乙方（盖章）：</w:t>
            </w:r>
            <w:r/>
          </w:p>
          <w:p>
            <w:pPr>
              <w:rPr>
                <w:rFonts w:hint="default" w:ascii="宋体" w:hAnsi="宋体"/>
                <w:color w:val="auto"/>
                <w:sz w:val="24"/>
                <w:highlight w:val="none"/>
              </w:rPr>
            </w:pPr>
            <w:r>
              <w:rPr>
                <w:rFonts w:hint="default" w:ascii="宋体" w:hAnsi="宋体"/>
                <w:color w:val="auto"/>
                <w:sz w:val="24"/>
                <w:highlight w:val="none"/>
              </w:rPr>
            </w:r>
            <w:r/>
          </w:p>
          <w:p>
            <w:pPr>
              <w:ind w:firstLine="200"/>
              <w:rPr>
                <w:rFonts w:hint="default" w:ascii="宋体" w:hAnsi="宋体"/>
                <w:color w:val="auto"/>
                <w:sz w:val="24"/>
                <w:highlight w:val="none"/>
              </w:rPr>
            </w:pPr>
            <w:r>
              <w:rPr>
                <w:rFonts w:hint="default" w:ascii="宋体" w:hAnsi="宋体"/>
                <w:color w:val="auto"/>
                <w:sz w:val="24"/>
                <w:highlight w:val="none"/>
              </w:rPr>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开户行：</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开户行：              </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账号：</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账号：</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税号：</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税号：</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法定代表人(签字)：</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法定代表人(签字)：</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委托代理人(签字)：</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委托代理人(签字)：</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电话：</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电话：</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传真：</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传真：</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邮编：</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邮编：</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地址： </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rPr>
                <w:rFonts w:hint="default" w:ascii="宋体" w:hAnsi="宋体"/>
                <w:color w:val="auto"/>
                <w:sz w:val="24"/>
                <w:highlight w:val="none"/>
              </w:rPr>
            </w:pPr>
            <w:r>
              <w:rPr>
                <w:rFonts w:hint="eastAsia" w:ascii="宋体" w:hAnsi="宋体"/>
                <w:color w:val="auto"/>
                <w:sz w:val="24"/>
                <w:highlight w:val="none"/>
              </w:rPr>
              <w:t xml:space="preserve">地址： </w:t>
            </w:r>
            <w:r/>
          </w:p>
        </w:tc>
      </w:tr>
    </w:tbl>
    <w:p>
      <w:pPr>
        <w:jc w:val="both"/>
        <w:rPr>
          <w:rFonts w:hint="eastAsia" w:ascii="宋体" w:hAnsi="宋体" w:eastAsia="宋体" w:cs="Times New Roman"/>
          <w:b/>
          <w:color w:val="auto"/>
          <w:sz w:val="32"/>
          <w:szCs w:val="32"/>
          <w:highlight w:val="none"/>
        </w:rPr>
        <w:sectPr>
          <w:footnotePr/>
          <w:endnotePr/>
          <w:type w:val="nextPage"/>
          <w:pgSz w:w="11907" w:h="16840" w:orient="portrait"/>
          <w:pgMar w:top="1304" w:right="1304" w:bottom="1304" w:left="1304" w:header="851" w:footer="851" w:gutter="0"/>
          <w:cols w:num="1" w:sep="0" w:space="1701" w:equalWidth="1"/>
          <w:docGrid w:linePitch="360"/>
        </w:sectPr>
      </w:pPr>
      <w:r>
        <w:rPr>
          <w:rFonts w:hint="eastAsia" w:ascii="宋体" w:hAnsi="宋体" w:eastAsia="宋体" w:cs="Times New Roman"/>
          <w:b/>
          <w:color w:val="auto"/>
          <w:sz w:val="32"/>
          <w:szCs w:val="32"/>
          <w:highlight w:val="none"/>
        </w:rPr>
      </w:r>
      <w:r/>
    </w:p>
    <w:p>
      <w:pPr>
        <w:ind w:firstLine="482"/>
        <w:keepLines w:val="0"/>
        <w:keepNext w:val="0"/>
        <w:pageBreakBefore w:val="0"/>
        <w:spacing w:line="48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附件1：</w:t>
      </w:r>
      <w:r>
        <w:rPr>
          <w:rFonts w:hint="eastAsia" w:ascii="宋体" w:hAnsi="宋体" w:cs="宋体"/>
          <w:b/>
          <w:bCs/>
          <w:color w:val="auto"/>
          <w:sz w:val="24"/>
          <w:highlight w:val="none"/>
        </w:rPr>
        <w:t xml:space="preserve">绿地管养要求</w:t>
      </w:r>
      <w:r/>
    </w:p>
    <w:tbl>
      <w:tblPr>
        <w:tblStyle w:val="759"/>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134"/>
        <w:gridCol w:w="8222"/>
      </w:tblGrid>
      <w:tr>
        <w:trPr>
          <w:jc w:val="center"/>
          <w:trHeight w:val="891"/>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序号</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内容</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一级</w:t>
            </w:r>
            <w:r/>
          </w:p>
        </w:tc>
      </w:tr>
      <w:tr>
        <w:trPr>
          <w:jc w:val="center"/>
          <w:trHeight w:val="1927"/>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乔灌木</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1、树木生长正常，不倾斜（造型树木除外）；</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2、乔木树形完美，主侧枝均匀，数量适宜内膛通风透光，无枯枝、过密枝、下垂枝等；</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3、花灌木开花及时，正常，花后修剪及时。</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4、乔木根部无萌蘖枝；</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5、无缺株、死树、无杂树、无明显杂草；</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6、基本无病虫害危害迹象，成活率达98%，追肥及时。</w:t>
            </w:r>
            <w:r/>
          </w:p>
        </w:tc>
      </w:tr>
      <w:tr>
        <w:trPr>
          <w:jc w:val="center"/>
          <w:trHeight w:val="1539"/>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绿篱修剪色块地被</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1、生长茂盛，枝条茂密，密度适宜；</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2、生长季节修剪，追肥及时，修剪形态符合景观观赏要求；</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3、无人为践踏、断行缺株现象；</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4、基本无病虫害危害。成活率达98%。</w:t>
            </w:r>
            <w:r/>
          </w:p>
        </w:tc>
      </w:tr>
      <w:tr>
        <w:trPr>
          <w:jc w:val="center"/>
          <w:trHeight w:val="2100"/>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草坪</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1、草坪生长茂盛，景观效果好，成活率达98%；</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2、修剪及时，追肥及时，高度符合要求；</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3、草坪边缘线清晰（树穴、花坛交界处其它植物间）；</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4、基本无杂草，杂草控制高度在5cm以下,基本无病虫害危害现象；</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5、草坪集中空秃面积不超过0.3m2；</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6、绿地平整，无坑洼积水；</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7、草坪无明显色差。</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8、迎宾大道、百花广场等9月中下旬播种黑麦草，成活率达98%。</w:t>
            </w:r>
            <w:r/>
          </w:p>
        </w:tc>
      </w:tr>
      <w:tr>
        <w:trPr>
          <w:jc w:val="center"/>
          <w:trHeight w:val="1542"/>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绿地秩序</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1、无侵占毁绿行为和现象；</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2、无乱堆乱放、晾晒衣物、无乱设摊和车辆乱停放现象；</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3、对被破坏或其他原因引起的绿地损坏及时处理，需发包方配合及时上报；</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4、及时清远各种垃圾杂物等，严禁现场焚烧。</w:t>
            </w:r>
            <w:r/>
          </w:p>
        </w:tc>
      </w:tr>
      <w:tr>
        <w:trPr>
          <w:jc w:val="center"/>
          <w:trHeight w:val="834"/>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人员要求</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1、上岗人员年龄、数量符合规定</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2、在岗人员统一着装，穿戴整齐，安全、规范、文明作业。</w:t>
            </w:r>
            <w:r/>
          </w:p>
        </w:tc>
      </w:tr>
      <w:tr>
        <w:trPr>
          <w:jc w:val="center"/>
          <w:trHeight w:val="1826"/>
        </w:trPr>
        <w:tc>
          <w:tcPr>
            <w:tcW w:w="767"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p>
        </w:tc>
        <w:tc>
          <w:tcPr>
            <w:tcW w:w="1134" w:type="dxa"/>
            <w:vAlign w:val="center"/>
            <w:textDirection w:val="lrTb"/>
            <w:noWrap/>
          </w:tcPr>
          <w:p>
            <w:pPr>
              <w:jc w:val="center"/>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组织管理</w:t>
            </w:r>
            <w:r/>
          </w:p>
        </w:tc>
        <w:tc>
          <w:tcPr>
            <w:tcW w:w="8222" w:type="dxa"/>
            <w:vAlign w:val="center"/>
            <w:textDirection w:val="lrTb"/>
            <w:noWrap/>
          </w:tcPr>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1、绿化管理台账齐全，有专人负责；</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2、根据绿地情况，制定绿地管养技术措施及年度养护计划、月度工作计划等；</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3、有应急抢险预案措施；</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4、加强对职工培训，提高人员的技术水平；</w:t>
            </w:r>
            <w:r/>
          </w:p>
          <w:p>
            <w:pPr>
              <w:jc w:val="both"/>
              <w:keepLines w:val="0"/>
              <w:keepNext w:val="0"/>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5、按照有关安全生产操作规程组织作业。</w:t>
            </w:r>
            <w:r/>
          </w:p>
        </w:tc>
      </w:tr>
    </w:tbl>
    <w:p>
      <w:pPr>
        <w:contextualSpacing/>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tbl>
      <w:tblPr>
        <w:tblStyle w:val="759"/>
        <w:tblW w:w="10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10"/>
        <w:gridCol w:w="8213"/>
      </w:tblGrid>
      <w:tr>
        <w:trPr>
          <w:jc w:val="center"/>
          <w:trHeight w:val="956"/>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序号</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内容</w:t>
            </w:r>
            <w:r/>
          </w:p>
        </w:tc>
        <w:tc>
          <w:tcPr>
            <w:tcW w:w="8213"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二级</w:t>
            </w:r>
            <w:r/>
          </w:p>
        </w:tc>
      </w:tr>
      <w:tr>
        <w:trPr>
          <w:jc w:val="center"/>
          <w:trHeight w:val="1799"/>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乔灌木</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1、树木生长正常，不倾斜（造型树木除外）；</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2、乔木树形完美，主侧枝均匀，数量适宜内膛通风透光，无枯枝、过密枝、下垂枝等；</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3、花灌木开花及时，正常，花后修剪及时。</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4、无缺株、死树、无杂树、无明显杂草；</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5、基本无病虫害危害迹象，成活率达95%，追肥及时。</w:t>
            </w:r>
            <w:r/>
          </w:p>
        </w:tc>
      </w:tr>
      <w:tr>
        <w:trPr>
          <w:jc w:val="center"/>
          <w:trHeight w:val="1443"/>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绿篱修剪色块地被</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1、生长茂盛，枝条茂密，密度适宜；</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2、生长季节修剪，追肥及时，修剪形态符合景观观赏要求；</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3、无人为践踏、断行缺株现象；</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4、基本无病虫害危害，成活率达95%.</w:t>
            </w:r>
            <w:r/>
          </w:p>
        </w:tc>
      </w:tr>
      <w:tr>
        <w:trPr>
          <w:jc w:val="center"/>
          <w:trHeight w:val="2178"/>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草坪</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1、草坪生长茂盛，成活率达95%；</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2、修剪及时，追肥及时，高度符合要求；</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3、草坪边缘线清晰（树穴、花坛交界处其它植物间）；</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4、基本无杂草，杂草控制高度在5cm以下,基本无病虫害危害现象；</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5、绿地平整，无坑洼积水。</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6、草坪集中空秃面积不超过0.5m2</w:t>
            </w:r>
            <w:r/>
          </w:p>
        </w:tc>
      </w:tr>
      <w:tr>
        <w:trPr>
          <w:jc w:val="center"/>
          <w:trHeight w:val="1706"/>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绿地秩序</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1、无侵占毁绿行为和现象；</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2、无乱堆乱放、晾晒衣物、无乱设摊和车辆乱停放现象；</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3、对被破坏或其他原因引起的绿地损坏及时处理，需发包方配合及时上报；</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4、及时清远各种垃圾杂物等，严禁现场焚烧。</w:t>
            </w:r>
            <w:r/>
          </w:p>
        </w:tc>
      </w:tr>
      <w:tr>
        <w:trPr>
          <w:jc w:val="center"/>
          <w:trHeight w:val="797"/>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5</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人员要求</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1、上岗人员年龄、数量符合规定</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2、在岗人员统一着装，穿戴整齐，安全、规范、文明作业。</w:t>
            </w:r>
            <w:r/>
          </w:p>
        </w:tc>
      </w:tr>
      <w:tr>
        <w:trPr>
          <w:jc w:val="center"/>
          <w:trHeight w:val="1738"/>
        </w:trPr>
        <w:tc>
          <w:tcPr>
            <w:tcW w:w="750" w:type="dxa"/>
            <w:vAlign w:val="center"/>
            <w:textDirection w:val="lrTb"/>
            <w:noWrap/>
          </w:tcPr>
          <w:p>
            <w:pPr>
              <w:jc w:val="center"/>
              <w:spacing w:line="30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6</w:t>
            </w:r>
            <w:r/>
          </w:p>
        </w:tc>
        <w:tc>
          <w:tcPr>
            <w:tcW w:w="1110" w:type="dxa"/>
            <w:vAlign w:val="center"/>
            <w:textDirection w:val="lrTb"/>
            <w:noWrap/>
          </w:tcPr>
          <w:p>
            <w:pPr>
              <w:jc w:val="cente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组织管理</w:t>
            </w:r>
            <w:r/>
          </w:p>
        </w:tc>
        <w:tc>
          <w:tcPr>
            <w:tcW w:w="8213" w:type="dxa"/>
            <w:vAlign w:val="center"/>
            <w:textDirection w:val="lrTb"/>
            <w:noWrap/>
          </w:tcPr>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1、绿化管理台账齐全，有专人负责；</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2、根据绿地情况，制定绿地管养技术措施及年度养护计划、月度工作计划等；</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3、有应急抢险预案措施；</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4、加强对职工培训，提高人员的技术水平；</w:t>
            </w:r>
            <w:r/>
          </w:p>
          <w:p>
            <w:pPr>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5、按照有关安全生产操作规程组织作业。</w:t>
            </w:r>
            <w:r/>
          </w:p>
        </w:tc>
      </w:tr>
    </w:tbl>
    <w:p>
      <w:pPr>
        <w:ind w:firstLine="480"/>
        <w:keepLines w:val="0"/>
        <w:keepNext w:val="0"/>
        <w:pageBreakBefore w:val="0"/>
        <w:spacing w:line="480" w:lineRule="auto"/>
        <w:rPr>
          <w:rFonts w:hint="default" w:ascii="宋体" w:hAnsi="宋体" w:cs="宋体"/>
          <w:color w:val="auto"/>
          <w:sz w:val="24"/>
          <w:highlight w:val="none"/>
          <w:lang w:val="en-US" w:eastAsia="zh-CN"/>
        </w:rPr>
        <w:sectPr>
          <w:footnotePr/>
          <w:endnotePr/>
          <w:type w:val="nextPage"/>
          <w:pgSz w:w="11907" w:h="16840" w:orient="portrait"/>
          <w:pgMar w:top="1304" w:right="1304" w:bottom="1304" w:left="1304" w:header="851" w:footer="851" w:gutter="0"/>
          <w:cols w:num="1" w:sep="0" w:space="1701" w:equalWidth="1"/>
          <w:docGrid w:linePitch="360"/>
        </w:sectPr>
      </w:pPr>
      <w:r>
        <w:rPr>
          <w:rFonts w:hint="default" w:ascii="宋体" w:hAnsi="宋体" w:cs="宋体"/>
          <w:color w:val="auto"/>
          <w:sz w:val="24"/>
          <w:highlight w:val="none"/>
          <w:lang w:val="en-US" w:eastAsia="zh-CN"/>
        </w:rPr>
      </w:r>
      <w:r/>
    </w:p>
    <w:p>
      <w:pPr>
        <w:ind w:firstLine="482"/>
        <w:keepLines w:val="0"/>
        <w:keepNext w:val="0"/>
        <w:pageBreakBefore w:val="0"/>
        <w:spacing w:line="48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附件2：</w:t>
      </w:r>
      <w:r>
        <w:rPr>
          <w:rFonts w:hint="eastAsia" w:ascii="宋体" w:hAnsi="宋体" w:cs="宋体"/>
          <w:b/>
          <w:bCs/>
          <w:color w:val="auto"/>
          <w:sz w:val="24"/>
          <w:highlight w:val="none"/>
        </w:rPr>
        <w:t xml:space="preserve">绿化管养考核实施细则</w:t>
      </w:r>
      <w:r/>
    </w:p>
    <w:p>
      <w:pPr>
        <w:jc w:val="center"/>
        <w:keepLines w:val="0"/>
        <w:keepNext w:val="0"/>
        <w:pageBreakBefore w:val="0"/>
        <w:spacing w:line="480" w:lineRule="auto"/>
        <w:rPr>
          <w:rFonts w:hint="default"/>
          <w:b/>
          <w:color w:val="auto"/>
          <w:sz w:val="24"/>
          <w:szCs w:val="24"/>
          <w:highlight w:val="none"/>
        </w:rPr>
      </w:pPr>
      <w:r>
        <w:rPr>
          <w:rFonts w:hint="eastAsia"/>
          <w:b/>
          <w:color w:val="auto"/>
          <w:sz w:val="24"/>
          <w:szCs w:val="24"/>
          <w:highlight w:val="none"/>
        </w:rPr>
        <w:t xml:space="preserve">一级绿化管养考核实施细则</w:t>
      </w:r>
      <w:r/>
    </w:p>
    <w:tbl>
      <w:tblPr>
        <w:tblStyle w:val="759"/>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567"/>
        <w:gridCol w:w="4678"/>
        <w:gridCol w:w="1817"/>
        <w:gridCol w:w="1579"/>
        <w:gridCol w:w="587"/>
      </w:tblGrid>
      <w:tr>
        <w:trPr>
          <w:jc w:val="center"/>
          <w:trHeight w:val="397"/>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项目</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分值</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考  核  标  准</w:t>
            </w:r>
            <w:r/>
          </w:p>
        </w:tc>
        <w:tc>
          <w:tcPr>
            <w:gridSpan w:val="2"/>
            <w:tcW w:w="3396"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扣  分  细  则</w:t>
            </w:r>
            <w:r/>
          </w:p>
        </w:tc>
        <w:tc>
          <w:tcPr>
            <w:tcW w:w="587"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扣分</w:t>
            </w:r>
            <w:r/>
          </w:p>
        </w:tc>
      </w:tr>
      <w:tr>
        <w:trPr>
          <w:cantSplit/>
          <w:jc w:val="center"/>
          <w:trHeight w:val="7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卫生</w:t>
            </w:r>
            <w:r/>
          </w:p>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保洁</w:t>
            </w:r>
            <w:r/>
          </w:p>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20</w:t>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1、花坛、树池、绿地内无枯枝、落叶、建筑垃圾等；水面无漂浮物等。</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发现有陈旧垃圾、杂物扣2分/处；枯叶每处扣2分/处，发现园林设施及水体不整洁扣2分/处；养护绿化垃圾当天不及时清运扣3分。</w:t>
            </w:r>
            <w:r/>
          </w:p>
        </w:tc>
        <w:tc>
          <w:tcPr>
            <w:tcW w:w="587"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2、生产垃圾日产日清，重点地段随产随清。</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97"/>
        </w:trPr>
        <w:tc>
          <w:tcPr>
            <w:tcBorders>
              <w:top w:val="single" w:color="auto" w:sz="4" w:space="0"/>
              <w:left w:val="single" w:color="auto" w:sz="4" w:space="0"/>
              <w:right w:val="single" w:color="auto" w:sz="4" w:space="0"/>
            </w:tcBorders>
            <w:tcW w:w="710"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草坪</w:t>
            </w:r>
            <w:r/>
          </w:p>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养护</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20</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1、生长期长势好，草坪绿期长，抗旱浇水和雨后排水及时，无退化现象。</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未及时做好浇水、排水工作致草坪生长不良扣3分/处；修剪不合格每平方扣2分；修剪不及时扣2分，病虫害防治不力造成危害影响景观的每平方扣2分；杂草明显、界线不清扣2分/次，未播种黑麦草扣3分，没有施肥扣5分/次，死亡未及时补缺到位扣3分/次。 </w:t>
            </w:r>
            <w:r/>
          </w:p>
        </w:tc>
        <w:tc>
          <w:tcPr>
            <w:tcW w:w="587"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15"/>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2、修剪平整，冬绿型草坪高度不超过10厘米，夏绿型草坪高度不超过6厘米，休眠期前作较低修剪。</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15"/>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3、草坪无病虫害，无空秃，有一定厚度，草根不裸露。</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15"/>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4、无杂草，与绿篱色块、地被之间界线清晰，追加施肥。</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237"/>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5、草坪修剪到位，无明显色差。</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288"/>
        </w:trPr>
        <w:tc>
          <w:tcPr>
            <w:tcBorders>
              <w:left w:val="single" w:color="auto" w:sz="4" w:space="0"/>
              <w:bottom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6、9月中下旬播种黑麦草</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15"/>
        </w:trPr>
        <w:tc>
          <w:tcPr>
            <w:tcBorders>
              <w:top w:val="single" w:color="auto" w:sz="4" w:space="0"/>
              <w:left w:val="single" w:color="auto" w:sz="4" w:space="0"/>
              <w:right w:val="single" w:color="auto" w:sz="4" w:space="0"/>
            </w:tcBorders>
            <w:tcW w:w="710"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乔灌木</w:t>
            </w:r>
            <w:r/>
          </w:p>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养护</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25</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1、树木生长正常，断枝及明显枯死枝，无倾斜、歪倒现象，绿篱色块基本无空缺。</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管护不到位，未及时做好浇水、排水工作致苗木死亡的扣5分/处；歪斜树不及时扶正、死树、枯枝、断枝不及时处理扣2分/株。修剪、清理不及时及修剪手法过重扣2分/处；绿篱色块成片死亡未及时补缺到位扣3分/处。出现病虫害症状，防治不力的扣2分/次，造成严重危害的扣3分/次，造成一定范围植株死亡的扣5分/次，没有施肥扣5分/次，发现明显杂草、杂树扣2分/处。</w:t>
            </w:r>
            <w:r/>
          </w:p>
        </w:tc>
        <w:tc>
          <w:tcPr>
            <w:tcW w:w="587"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15"/>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2、树木的修剪符合景观观赏要求，乔木根部无萌孽枝，绿篱、色块修剪及时到位，垂直绿化牵引、绑扎到位。</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15"/>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3、树木病虫害防治及时、有效，蛀干害虫&lt;3%,食叶性害虫&lt;5%,刺吸性害虫&lt;10%。</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ind w:left="121" w:hanging="120"/>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808"/>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4、绿地内无大型杂草、无缠绕性、攀缘性杂草，无乱牵乱挂现象，杂树、树桩清除及时，追加施肥。</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1002"/>
        </w:trPr>
        <w:tc>
          <w:tcPr>
            <w:tcBorders>
              <w:left w:val="single" w:color="auto" w:sz="4" w:space="0"/>
              <w:bottom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5、无死树、无杂树、无明显杂草。</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45"/>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绿地</w:t>
            </w:r>
            <w:r/>
          </w:p>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秩序</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10</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1、绿地上有杂物堆放、乱停车、乱披挂、乱设摊、乱晾晒、乱焚烧生产垃圾的现象。</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发现一辆扣2分，管养人员自己的车辆扣2分/辆,杂物堆放、乱披披挂、乱晾晒扣2分/处，乱设置扣2分/处，乱焚烧生产垃圾扣3分/处，扣完为止。绿地侵占、破坏设施未发现制止或发现未汇报的扣2分/次。</w:t>
            </w:r>
            <w:r/>
          </w:p>
        </w:tc>
        <w:tc>
          <w:tcPr>
            <w:tcW w:w="587"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6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2、发现绿地侵占、偷盗苗木、破坏设施等现象，要立即制止，同时第一时间与甲方联系并汇报。</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622"/>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eastAsia" w:ascii="宋体" w:hAnsi="宋体"/>
                <w:color w:val="auto"/>
                <w:sz w:val="18"/>
                <w:szCs w:val="18"/>
                <w:highlight w:val="none"/>
              </w:rPr>
              <w:t xml:space="preserve">台帐记录</w:t>
            </w:r>
            <w:r/>
          </w:p>
        </w:tc>
        <w:tc>
          <w:tcPr>
            <w:tcBorders>
              <w:left w:val="single" w:color="auto" w:sz="4" w:space="0"/>
              <w:right w:val="single" w:color="auto" w:sz="4" w:space="0"/>
            </w:tcBorders>
            <w:tcW w:w="567" w:type="dxa"/>
            <w:vAlign w:val="center"/>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10</w:t>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1、提供当月考勤情况记录表、管理工作小结及次月工作计划安排。</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2、及时做好各类灾害性天气的应急预案。</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3、做好每月安全例会和文明作业的台帐资料。</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4、提供人员工资福利发放单（复印件）。</w:t>
            </w:r>
            <w:r/>
          </w:p>
        </w:tc>
        <w:tc>
          <w:tcPr>
            <w:gridSpan w:val="2"/>
            <w:tcW w:w="3396"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未按要求完成上交的，每缺一项扣2分。</w:t>
            </w:r>
            <w:r/>
          </w:p>
        </w:tc>
        <w:tc>
          <w:tcPr>
            <w:tcW w:w="587" w:type="dxa"/>
            <w:vAlign w:val="center"/>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33"/>
        </w:trPr>
        <w:tc>
          <w:tcPr>
            <w:tcBorders>
              <w:top w:val="single" w:color="auto" w:sz="4" w:space="0"/>
              <w:left w:val="single" w:color="auto" w:sz="4" w:space="0"/>
              <w:right w:val="single" w:color="auto" w:sz="4" w:space="0"/>
            </w:tcBorders>
            <w:tcW w:w="710"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其他</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eastAsia" w:ascii="宋体" w:hAnsi="宋体"/>
                <w:color w:val="auto"/>
                <w:sz w:val="18"/>
                <w:szCs w:val="18"/>
                <w:highlight w:val="none"/>
              </w:rPr>
              <w:t xml:space="preserve">15</w:t>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1、上岗人员符合管养绿地要求，人员齐全，年龄符合规定。定职定岗，按规定着标志服装。</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上岗人员有缺少或不符合要求扣3分/人，聚众聊天、串岗离岗发现1人扣2分；不着标志服装,每发现1人扣2分。未按作业安全操作规程进行登高、机械操作的发现一次扣2分。不服从甲方管理，未能按要求完成任务的一次扣2分。</w:t>
            </w:r>
            <w:r/>
          </w:p>
        </w:tc>
        <w:tc>
          <w:tcPr>
            <w:tcW w:w="587"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191"/>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2、安全要求，按绿化作业安全操作规程执行</w:t>
            </w:r>
            <w:r/>
          </w:p>
        </w:tc>
        <w:tc>
          <w:tcPr>
            <w:gridSpan w:val="2"/>
            <w:tcW w:w="3396" w:type="dxa"/>
            <w:vAlign w:val="center"/>
            <w:vMerge w:val="continue"/>
            <w:textDirection w:val="lrTb"/>
            <w:noWrap/>
          </w:tcPr>
          <w:p>
            <w:pP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1367"/>
        </w:trPr>
        <w:tc>
          <w:tcPr>
            <w:tcBorders>
              <w:left w:val="single" w:color="auto" w:sz="4" w:space="0"/>
              <w:bottom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3、服从甲方统一管理,完成甲方安排的各项任务</w:t>
            </w:r>
            <w:r/>
          </w:p>
        </w:tc>
        <w:tc>
          <w:tcPr>
            <w:gridSpan w:val="2"/>
            <w:tcW w:w="3396" w:type="dxa"/>
            <w:vAlign w:val="center"/>
            <w:vMerge w:val="continue"/>
            <w:textDirection w:val="lrTb"/>
            <w:noWrap/>
          </w:tcPr>
          <w:p>
            <w:pP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W w:w="587"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277"/>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合计</w:t>
            </w:r>
            <w:r/>
          </w:p>
        </w:tc>
        <w:tc>
          <w:tcPr>
            <w:tcBorders>
              <w:top w:val="single" w:color="auto" w:sz="4" w:space="0"/>
              <w:left w:val="single" w:color="auto" w:sz="4" w:space="0"/>
              <w:bottom w:val="single" w:color="auto" w:sz="4" w:space="0"/>
            </w:tcBorders>
            <w:tcW w:w="567"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100</w:t>
            </w:r>
            <w:r/>
          </w:p>
        </w:tc>
        <w:tc>
          <w:tcPr>
            <w:tcBorders>
              <w:top w:val="single" w:color="auto" w:sz="4" w:space="0"/>
              <w:left w:val="single" w:color="auto" w:sz="4" w:space="0"/>
              <w:bottom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bottom w:val="single" w:color="auto" w:sz="4" w:space="0"/>
            </w:tcBorders>
            <w:tcW w:w="1817"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bottom w:val="single" w:color="auto" w:sz="4" w:space="0"/>
            </w:tcBorders>
            <w:tcW w:w="1579"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得分</w:t>
            </w:r>
            <w:r/>
          </w:p>
        </w:tc>
        <w:tc>
          <w:tcPr>
            <w:tcW w:w="587" w:type="dxa"/>
            <w:vAlign w:val="top"/>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1035"/>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特别</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条款</w:t>
            </w:r>
            <w:r/>
          </w:p>
        </w:tc>
        <w:tc>
          <w:tcPr>
            <w:gridSpan w:val="4"/>
            <w:tcBorders>
              <w:top w:val="none" w:color="000000" w:sz="4" w:space="0"/>
              <w:left w:val="single" w:color="auto" w:sz="4" w:space="0"/>
              <w:bottom w:val="single" w:color="auto" w:sz="4" w:space="0"/>
            </w:tcBorders>
            <w:tcW w:w="8641"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1、被媒体曝光或受到各级领导通报批评的，发生一次扣5分；</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2、各部门发现的问题或者群众来信来访未能及时整改处理或回复处理不及时、不真实的，每次扣5分。</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3、由长效管理，数字化执法局等部门对管养出现扣分的，直接按标准双倍扣分。</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4、由市第三方、镇处置通平台拍照每处扣2分。</w:t>
            </w:r>
            <w:r/>
          </w:p>
        </w:tc>
        <w:tc>
          <w:tcPr>
            <w:tcW w:w="587" w:type="dxa"/>
            <w:vAlign w:val="top"/>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bl>
    <w:p>
      <w:pPr>
        <w:jc w:val="center"/>
        <w:keepLines w:val="0"/>
        <w:keepNext w:val="0"/>
        <w:pageBreakBefore w:val="0"/>
        <w:spacing w:line="480" w:lineRule="auto"/>
        <w:rPr>
          <w:rFonts w:hint="eastAsia"/>
          <w:b/>
          <w:color w:val="auto"/>
          <w:sz w:val="28"/>
          <w:szCs w:val="28"/>
          <w:highlight w:val="none"/>
        </w:rPr>
      </w:pPr>
      <w:r>
        <w:rPr>
          <w:rFonts w:hint="eastAsia"/>
          <w:b/>
          <w:color w:val="auto"/>
          <w:sz w:val="28"/>
          <w:szCs w:val="28"/>
          <w:highlight w:val="none"/>
        </w:rPr>
      </w:r>
      <w:r/>
    </w:p>
    <w:p>
      <w:pPr>
        <w:jc w:val="center"/>
        <w:keepLines w:val="0"/>
        <w:keepNext w:val="0"/>
        <w:pageBreakBefore w:val="0"/>
        <w:spacing w:line="480" w:lineRule="auto"/>
        <w:rPr>
          <w:rFonts w:hint="eastAsia"/>
          <w:b/>
          <w:color w:val="auto"/>
          <w:sz w:val="28"/>
          <w:szCs w:val="28"/>
          <w:highlight w:val="none"/>
        </w:rPr>
      </w:pPr>
      <w:r>
        <w:rPr>
          <w:rFonts w:hint="eastAsia"/>
          <w:b/>
          <w:color w:val="auto"/>
          <w:sz w:val="28"/>
          <w:szCs w:val="28"/>
          <w:highlight w:val="none"/>
        </w:rPr>
      </w:r>
      <w:r/>
    </w:p>
    <w:p>
      <w:pPr>
        <w:jc w:val="center"/>
        <w:keepLines w:val="0"/>
        <w:keepNext w:val="0"/>
        <w:pageBreakBefore w:val="0"/>
        <w:spacing w:line="480" w:lineRule="auto"/>
        <w:rPr>
          <w:rFonts w:hint="default"/>
          <w:b/>
          <w:color w:val="auto"/>
          <w:sz w:val="24"/>
          <w:szCs w:val="24"/>
          <w:highlight w:val="none"/>
        </w:rPr>
      </w:pPr>
      <w:r>
        <w:rPr>
          <w:rFonts w:hint="eastAsia"/>
          <w:b/>
          <w:color w:val="auto"/>
          <w:sz w:val="24"/>
          <w:szCs w:val="24"/>
          <w:highlight w:val="none"/>
        </w:rPr>
        <w:t xml:space="preserve">二级绿化管养考核实施细则</w:t>
      </w:r>
      <w:r/>
    </w:p>
    <w:tbl>
      <w:tblPr>
        <w:tblStyle w:val="759"/>
        <w:tblW w:w="9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567"/>
        <w:gridCol w:w="4678"/>
        <w:gridCol w:w="1817"/>
        <w:gridCol w:w="1579"/>
        <w:gridCol w:w="562"/>
      </w:tblGrid>
      <w:tr>
        <w:trPr>
          <w:jc w:val="center"/>
          <w:trHeight w:val="397"/>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项目</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分值</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考  核  标  准</w:t>
            </w:r>
            <w:r/>
          </w:p>
        </w:tc>
        <w:tc>
          <w:tcPr>
            <w:gridSpan w:val="2"/>
            <w:tcW w:w="3396"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扣  分  细  则</w:t>
            </w:r>
            <w:r/>
          </w:p>
        </w:tc>
        <w:tc>
          <w:tcPr>
            <w:tcW w:w="562" w:type="dxa"/>
            <w:vAlign w:val="center"/>
            <w:textDirection w:val="lrTb"/>
            <w:noWrap/>
          </w:tcPr>
          <w:p>
            <w:pPr>
              <w:jc w:val="center"/>
              <w:keepLines w:val="0"/>
              <w:keepNext w:val="0"/>
              <w:pageBreakBefore w:val="0"/>
              <w:spacing w:line="480" w:lineRule="auto"/>
              <w:rPr>
                <w:rFonts w:hint="eastAsia" w:ascii="宋体" w:hAnsi="宋体" w:cs="Century"/>
                <w:b/>
                <w:bCs/>
                <w:color w:val="auto"/>
                <w:spacing w:val="2"/>
                <w:highlight w:val="none"/>
              </w:rPr>
            </w:pPr>
            <w:r>
              <w:rPr>
                <w:rFonts w:hint="eastAsia" w:ascii="宋体" w:hAnsi="宋体" w:cs="Century"/>
                <w:b/>
                <w:bCs/>
                <w:color w:val="auto"/>
                <w:spacing w:val="2"/>
                <w:highlight w:val="none"/>
              </w:rPr>
              <w:t xml:space="preserve">扣分</w:t>
            </w:r>
            <w:r/>
          </w:p>
        </w:tc>
      </w:tr>
      <w:tr>
        <w:trPr>
          <w:cantSplit/>
          <w:jc w:val="center"/>
          <w:trHeight w:val="7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卫生</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保洁</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right w:val="single" w:color="auto" w:sz="4" w:space="0"/>
            </w:tcBorders>
            <w:tcW w:w="567" w:type="dxa"/>
            <w:vAlign w:val="center"/>
            <w:vMerge w:val="restart"/>
            <w:textDirection w:val="lrTb"/>
            <w:noWrap/>
          </w:tcPr>
          <w:p>
            <w:pPr>
              <w:keepLines w:val="0"/>
              <w:keepNext w:val="0"/>
              <w:pageBreakBefore w:val="0"/>
              <w:spacing w:line="480" w:lineRule="auto"/>
              <w:rPr>
                <w:rFonts w:hint="default" w:ascii="宋体" w:hAnsi="宋体" w:cs="Century"/>
                <w:color w:val="auto"/>
                <w:spacing w:val="2"/>
                <w:highlight w:val="none"/>
              </w:rPr>
            </w:pPr>
            <w:r>
              <w:rPr>
                <w:rFonts w:hint="eastAsia" w:ascii="宋体" w:hAnsi="宋体" w:cs="Century"/>
                <w:color w:val="auto"/>
                <w:spacing w:val="2"/>
                <w:highlight w:val="none"/>
              </w:rPr>
              <w:t xml:space="preserve">12</w:t>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1、花坛、树池、绿地内无枯枝、落叶、建筑垃圾等；水面无漂浮物等。</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发现有陈旧垃圾、杂物扣2分/处；枯叶每处扣2分/处，发现园林设施及水体不整洁扣2分/处；养护绿化垃圾当天不及时清运扣2分。</w:t>
            </w:r>
            <w:r/>
          </w:p>
        </w:tc>
        <w:tc>
          <w:tcPr>
            <w:tcW w:w="562"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2、生产垃圾日产日清，重点地段随产随清。</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97"/>
        </w:trPr>
        <w:tc>
          <w:tcPr>
            <w:tcBorders>
              <w:top w:val="single" w:color="auto" w:sz="4" w:space="0"/>
              <w:left w:val="single" w:color="auto" w:sz="4" w:space="0"/>
              <w:right w:val="single" w:color="auto" w:sz="4" w:space="0"/>
            </w:tcBorders>
            <w:tcW w:w="710"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草坪</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养护</w:t>
            </w:r>
            <w:r/>
          </w:p>
        </w:tc>
        <w:tc>
          <w:tcPr>
            <w:tcBorders>
              <w:top w:val="single" w:color="auto" w:sz="4" w:space="0"/>
              <w:left w:val="single" w:color="auto" w:sz="4" w:space="0"/>
              <w:right w:val="single" w:color="auto" w:sz="4" w:space="0"/>
            </w:tcBorders>
            <w:tcW w:w="567" w:type="dxa"/>
            <w:vAlign w:val="center"/>
            <w:vMerge w:val="restart"/>
            <w:textDirection w:val="lrTb"/>
            <w:noWrap/>
          </w:tcPr>
          <w:p>
            <w:pPr>
              <w:keepLines w:val="0"/>
              <w:keepNext w:val="0"/>
              <w:pageBreakBefore w:val="0"/>
              <w:spacing w:line="480" w:lineRule="auto"/>
              <w:rPr>
                <w:rFonts w:hint="default" w:ascii="宋体" w:hAnsi="宋体" w:cs="Century"/>
                <w:color w:val="auto"/>
                <w:spacing w:val="2"/>
                <w:highlight w:val="none"/>
              </w:rPr>
            </w:pPr>
            <w:r>
              <w:rPr>
                <w:rFonts w:hint="eastAsia" w:ascii="宋体" w:hAnsi="宋体" w:cs="Century"/>
                <w:color w:val="auto"/>
                <w:spacing w:val="2"/>
                <w:highlight w:val="none"/>
              </w:rPr>
              <w:t xml:space="preserve">18</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1、生长期长势好，草坪绿期长，抗旱浇水和雨后排水及时，无退化现象。</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未及时做好浇水、排水工作致草坪生长不良扣2分/处；修剪不合格每平方扣2分；病虫害防治不力造成危害影响景观的每平方扣2分；杂草明显、界线不清扣2分/次，没有施肥扣3分/次，未播种黑麦草扣3分，死亡未及时补缺到位扣3分/次。</w:t>
            </w:r>
            <w:r/>
          </w:p>
        </w:tc>
        <w:tc>
          <w:tcPr>
            <w:tcW w:w="562"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15"/>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2、修剪平整，冬、夏绿型草坪高度适应天气，休眠期前作较低修剪。</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485"/>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3、草坪无病虫害，无空秃，有一定厚度，草根不裸露。</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432"/>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4、无杂草，与绿篱色块、地被之间界线清晰，追加施肥。</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98"/>
        </w:trPr>
        <w:tc>
          <w:tcPr>
            <w:tcBorders>
              <w:left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5、草坪无明显色差。</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78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乔灌木</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养护</w:t>
            </w:r>
            <w:r/>
          </w:p>
        </w:tc>
        <w:tc>
          <w:tcPr>
            <w:tcBorders>
              <w:top w:val="single" w:color="auto" w:sz="4" w:space="0"/>
              <w:left w:val="single" w:color="auto" w:sz="4" w:space="0"/>
              <w:right w:val="single" w:color="auto" w:sz="4" w:space="0"/>
            </w:tcBorders>
            <w:tcW w:w="567" w:type="dxa"/>
            <w:vAlign w:val="center"/>
            <w:vMerge w:val="restart"/>
            <w:textDirection w:val="lrTb"/>
            <w:noWrap/>
          </w:tcPr>
          <w:p>
            <w:pPr>
              <w:keepLines w:val="0"/>
              <w:keepNext w:val="0"/>
              <w:pageBreakBefore w:val="0"/>
              <w:spacing w:line="480" w:lineRule="auto"/>
              <w:rPr>
                <w:rFonts w:hint="default" w:ascii="宋体" w:hAnsi="宋体" w:cs="Century"/>
                <w:color w:val="auto"/>
                <w:spacing w:val="2"/>
                <w:highlight w:val="none"/>
              </w:rPr>
            </w:pPr>
            <w:r>
              <w:rPr>
                <w:rFonts w:hint="eastAsia" w:ascii="宋体" w:hAnsi="宋体" w:cs="Century"/>
                <w:color w:val="auto"/>
                <w:spacing w:val="2"/>
                <w:highlight w:val="none"/>
              </w:rPr>
              <w:t xml:space="preserve">22</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1、树木生长正常，无死树、断枝及明显枯死枝，无倾斜、歪倒现象，绿篱色块基本无空缺。</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管护不到位，未及时做好浇水、排水工作致苗木死亡的扣3分/处；歪斜树不及时扶正、死树、枯枝、断枝不及时处理扣2分/株。修剪、清理不及时及修剪手法过重扣2分/处；绿篱色块成片死亡未及时补缺到位扣3分/处。出现病虫害症状，防治不力的扣2分/次，造成严重危害的扣3分/次，造成一定范围植株死亡的扣5分/次，没有施肥扣3分/次，发现明显杂草、杂树扣2分/处。</w:t>
            </w:r>
            <w:r/>
          </w:p>
        </w:tc>
        <w:tc>
          <w:tcPr>
            <w:tcW w:w="562"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74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2、树木的修剪符合景观观赏要求，乔木根部无萌孽枝，绿篱、色块修剪及时到位，垂直绿化牵引、绑扎到位。</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98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3、树木病虫害防治及时、有效，蛀干害虫&lt;3%,食叶性害虫&lt;5%,刺吸性害虫&lt;10%。</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ind w:left="121" w:hanging="120"/>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default" w:ascii="宋体" w:hAnsi="宋体"/>
                <w:color w:val="auto"/>
                <w:sz w:val="18"/>
                <w:szCs w:val="18"/>
                <w:highlight w:val="none"/>
              </w:rPr>
            </w:pPr>
            <w:r>
              <w:rPr>
                <w:rFonts w:hint="default" w:ascii="宋体" w:hAnsi="宋体"/>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4、绿地内无大型杂草、无缠绕性、攀缘性杂草，无乱牵乱挂现象，杂树、树桩清除及时，追加施肥。</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45"/>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绿地</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秩序</w:t>
            </w:r>
            <w:r/>
          </w:p>
        </w:tc>
        <w:tc>
          <w:tcPr>
            <w:tcBorders>
              <w:top w:val="single" w:color="auto" w:sz="4" w:space="0"/>
              <w:left w:val="single" w:color="auto" w:sz="4" w:space="0"/>
              <w:right w:val="single" w:color="auto" w:sz="4" w:space="0"/>
            </w:tcBorders>
            <w:tcW w:w="567"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10</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1、绿地上有杂物堆放、乱停车、乱披挂、乱设摊、乱晾晒、乱焚烧生产垃圾的现象。</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发现一辆扣2分，管养人员自己的车辆扣2分/辆,杂物堆放、乱披披挂、乱晾晒扣2分/处，乱设置扣2分/处，乱焚烧生产垃圾扣3分/处，扣完为止。绿地侵占、破坏设施未发现制止或发现未汇报的扣2分/次。</w:t>
            </w:r>
            <w:r/>
          </w:p>
        </w:tc>
        <w:tc>
          <w:tcPr>
            <w:tcW w:w="562"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6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left w:val="single" w:color="auto" w:sz="4" w:space="0"/>
              <w:right w:val="single" w:color="auto" w:sz="4" w:space="0"/>
            </w:tcBorders>
            <w:tcW w:w="567"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2、发现绿地侵占、偷盗苗木、破坏设施等现象，要立即制止，同时第一时间与甲方联系并汇报。</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967"/>
        </w:trPr>
        <w:tc>
          <w:tcPr>
            <w:tcBorders>
              <w:top w:val="single" w:color="auto" w:sz="4" w:space="0"/>
              <w:left w:val="single" w:color="auto" w:sz="4" w:space="0"/>
              <w:right w:val="single" w:color="auto" w:sz="4" w:space="0"/>
            </w:tcBorders>
            <w:tcW w:w="710"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草花</w:t>
            </w:r>
            <w:r/>
          </w:p>
        </w:tc>
        <w:tc>
          <w:tcPr>
            <w:tcBorders>
              <w:left w:val="single" w:color="auto" w:sz="4" w:space="0"/>
              <w:right w:val="single" w:color="auto" w:sz="4" w:space="0"/>
            </w:tcBorders>
            <w:tcW w:w="567" w:type="dxa"/>
            <w:vAlign w:val="center"/>
            <w:vMerge w:val="restart"/>
            <w:textDirection w:val="lrTb"/>
            <w:noWrap/>
          </w:tcPr>
          <w:p>
            <w:pPr>
              <w:keepLines w:val="0"/>
              <w:keepNext w:val="0"/>
              <w:pageBreakBefore w:val="0"/>
              <w:spacing w:line="480" w:lineRule="auto"/>
              <w:rPr>
                <w:rFonts w:hint="default" w:ascii="宋体" w:hAnsi="宋体" w:cs="Century"/>
                <w:color w:val="auto"/>
                <w:spacing w:val="2"/>
                <w:highlight w:val="none"/>
              </w:rPr>
            </w:pPr>
            <w:r>
              <w:rPr>
                <w:rFonts w:hint="eastAsia" w:ascii="宋体" w:hAnsi="宋体" w:cs="Century"/>
                <w:color w:val="auto"/>
                <w:spacing w:val="2"/>
                <w:highlight w:val="none"/>
              </w:rPr>
              <w:t xml:space="preserve">20</w:t>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1、草花里无杂草、杂树、乱堆放、乱晾晒的现象。</w:t>
            </w:r>
            <w:r/>
          </w:p>
        </w:tc>
        <w:tc>
          <w:tcPr>
            <w:gridSpan w:val="2"/>
            <w:tcW w:w="3396" w:type="dxa"/>
            <w:vAlign w:val="center"/>
            <w:vMerge w:val="restart"/>
            <w:textDirection w:val="lrTb"/>
            <w:noWrap/>
          </w:tcPr>
          <w:p>
            <w:pPr>
              <w:keepLines w:val="0"/>
              <w:keepNext w:val="0"/>
              <w:pageBreakBefore w:val="0"/>
              <w:spacing w:line="480" w:lineRule="auto"/>
              <w:rPr>
                <w:rFonts w:hint="default" w:ascii="宋体" w:hAnsi="宋体" w:cs="Century"/>
                <w:color w:val="auto"/>
                <w:spacing w:val="2"/>
                <w:highlight w:val="none"/>
              </w:rPr>
            </w:pPr>
            <w:r>
              <w:rPr>
                <w:rFonts w:hint="eastAsia" w:ascii="宋体" w:hAnsi="宋体" w:cs="Century"/>
                <w:color w:val="auto"/>
                <w:spacing w:val="2"/>
                <w:highlight w:val="none"/>
              </w:rPr>
              <w:t xml:space="preserve">草花死亡、空秃扣2分，经甲方提醒仍未补栽的扣4分，有杂草扣3分，乱堆放、枯枝、枯叶扣2分，被破会侵占的扣1分，未按照合同约定时间将草花种植结束的扣4分，种植草花管理不善或时节错误大面积死亡的扣4分。</w:t>
            </w:r>
            <w:r/>
          </w:p>
        </w:tc>
        <w:tc>
          <w:tcPr>
            <w:tcW w:w="562"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260"/>
        </w:trPr>
        <w:tc>
          <w:tcPr>
            <w:tcBorders>
              <w:left w:val="single" w:color="auto" w:sz="4" w:space="0"/>
              <w:bottom w:val="single" w:color="auto" w:sz="4" w:space="0"/>
              <w:right w:val="single" w:color="auto" w:sz="4" w:space="0"/>
            </w:tcBorders>
            <w:tcW w:w="710" w:type="dxa"/>
            <w:vAlign w:val="center"/>
            <w:vMerge w:val="continue"/>
            <w:textDirection w:val="lrTb"/>
            <w:noWrap/>
          </w:tcPr>
          <w:p>
            <w:pPr>
              <w:jc w:val="center"/>
              <w:keepLines w:val="0"/>
              <w:keepNext w:val="0"/>
              <w:pageBreakBefore w:val="0"/>
              <w:spacing w:line="480" w:lineRule="auto"/>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left w:val="single" w:color="auto" w:sz="4" w:space="0"/>
              <w:right w:val="single" w:color="auto" w:sz="4" w:space="0"/>
            </w:tcBorders>
            <w:tcW w:w="567" w:type="dxa"/>
            <w:vAlign w:val="center"/>
            <w:vMerge w:val="continue"/>
            <w:textDirection w:val="lrTb"/>
            <w:noWrap/>
          </w:tcPr>
          <w:p>
            <w:pPr>
              <w:jc w:val="center"/>
              <w:keepLines w:val="0"/>
              <w:keepNext w:val="0"/>
              <w:pageBreakBefore w:val="0"/>
              <w:spacing w:line="480" w:lineRule="auto"/>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default" w:ascii="宋体" w:hAnsi="宋体" w:cs="Century"/>
                <w:color w:val="auto"/>
                <w:spacing w:val="2"/>
                <w:highlight w:val="none"/>
              </w:rPr>
            </w:pPr>
            <w:r>
              <w:rPr>
                <w:rFonts w:hint="eastAsia" w:ascii="宋体" w:hAnsi="宋体" w:cs="Century"/>
                <w:color w:val="auto"/>
                <w:spacing w:val="2"/>
                <w:highlight w:val="none"/>
              </w:rPr>
              <w:t xml:space="preserve">2、无破坏、无空秃、无死亡、无枯枝、无枯叶等现象。</w:t>
            </w:r>
            <w:r/>
          </w:p>
        </w:tc>
        <w:tc>
          <w:tcPr>
            <w:gridSpan w:val="2"/>
            <w:tcW w:w="3396"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622"/>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台帐记录</w:t>
            </w:r>
            <w:r/>
          </w:p>
        </w:tc>
        <w:tc>
          <w:tcPr>
            <w:tcBorders>
              <w:left w:val="single" w:color="auto" w:sz="4" w:space="0"/>
              <w:right w:val="single" w:color="auto" w:sz="4" w:space="0"/>
            </w:tcBorders>
            <w:tcW w:w="567"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8</w:t>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1、提供当月考勤情况记录表、管理工作小结及次月工作计划安排。</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2、及时做好各类灾害性天气的应急预案。</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3、做好每月安全例会和文明作业的台帐资料。</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4、提供人员工资福利发放单（复印件）。</w:t>
            </w:r>
            <w:r/>
          </w:p>
        </w:tc>
        <w:tc>
          <w:tcPr>
            <w:gridSpan w:val="2"/>
            <w:tcW w:w="3396"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未按要求完成上交的，每缺一项扣2分。</w:t>
            </w:r>
            <w:r/>
          </w:p>
        </w:tc>
        <w:tc>
          <w:tcPr>
            <w:tcW w:w="562" w:type="dxa"/>
            <w:vAlign w:val="center"/>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333"/>
        </w:trPr>
        <w:tc>
          <w:tcPr>
            <w:tcBorders>
              <w:top w:val="single" w:color="auto" w:sz="4" w:space="0"/>
              <w:left w:val="single" w:color="auto" w:sz="4" w:space="0"/>
              <w:right w:val="single" w:color="auto" w:sz="4" w:space="0"/>
            </w:tcBorders>
            <w:tcW w:w="710"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其他</w:t>
            </w:r>
            <w:r/>
          </w:p>
        </w:tc>
        <w:tc>
          <w:tcPr>
            <w:tcBorders>
              <w:top w:val="single" w:color="auto" w:sz="4" w:space="0"/>
              <w:left w:val="single" w:color="auto" w:sz="4" w:space="0"/>
              <w:right w:val="single" w:color="auto" w:sz="4" w:space="0"/>
            </w:tcBorders>
            <w:tcW w:w="567" w:type="dxa"/>
            <w:vAlign w:val="center"/>
            <w:vMerge w:val="restart"/>
            <w:textDirection w:val="lrTb"/>
            <w:noWrap/>
          </w:tcPr>
          <w:p>
            <w:pPr>
              <w:keepLines w:val="0"/>
              <w:keepNext w:val="0"/>
              <w:pageBreakBefore w:val="0"/>
              <w:spacing w:line="480" w:lineRule="auto"/>
              <w:rPr>
                <w:rFonts w:hint="default" w:ascii="宋体" w:hAnsi="宋体" w:cs="Century"/>
                <w:color w:val="auto"/>
                <w:spacing w:val="2"/>
                <w:highlight w:val="none"/>
              </w:rPr>
            </w:pPr>
            <w:r>
              <w:rPr>
                <w:rFonts w:hint="eastAsia" w:ascii="宋体" w:hAnsi="宋体" w:cs="Century"/>
                <w:color w:val="auto"/>
                <w:spacing w:val="2"/>
                <w:highlight w:val="none"/>
              </w:rPr>
              <w:t xml:space="preserve">10</w:t>
            </w:r>
            <w:r/>
          </w:p>
        </w:tc>
        <w:tc>
          <w:tcPr>
            <w:tcBorders>
              <w:top w:val="single" w:color="auto" w:sz="4" w:space="0"/>
              <w:left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1、上岗人员符合管养绿地要求，人员齐全，年龄符合规定。定职定岗，按规定着标志服装。</w:t>
            </w:r>
            <w:r/>
          </w:p>
        </w:tc>
        <w:tc>
          <w:tcPr>
            <w:gridSpan w:val="2"/>
            <w:tcW w:w="3396" w:type="dxa"/>
            <w:vAlign w:val="center"/>
            <w:vMerge w:val="restart"/>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上岗人员有缺少或不符合要求扣2分/人，聚众聊天、串岗离岗发现1人扣1分；不着标志服装,每发现1人扣1分。未按作业安全操作规程进行登高、机械操作的发现一次扣2分。不服从甲方管理，未能按要求完成任务的一次扣2分。</w:t>
            </w:r>
            <w:r/>
          </w:p>
        </w:tc>
        <w:tc>
          <w:tcPr>
            <w:tcW w:w="562" w:type="dxa"/>
            <w:vAlign w:val="center"/>
            <w:vMerge w:val="restart"/>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191"/>
        </w:trPr>
        <w:tc>
          <w:tcPr>
            <w:tcBorders>
              <w:left w:val="single" w:color="auto" w:sz="4" w:space="0"/>
              <w:right w:val="single" w:color="auto" w:sz="4" w:space="0"/>
            </w:tcBorders>
            <w:tcW w:w="710"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left w:val="single" w:color="auto" w:sz="4" w:space="0"/>
              <w:right w:val="single" w:color="auto" w:sz="4" w:space="0"/>
            </w:tcBorders>
            <w:tcW w:w="567"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2、安全要求，按绿化作业安全操作规程执行</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960"/>
        </w:trPr>
        <w:tc>
          <w:tcPr>
            <w:tcBorders>
              <w:left w:val="single" w:color="auto" w:sz="4" w:space="0"/>
              <w:bottom w:val="single" w:color="auto" w:sz="4" w:space="0"/>
              <w:right w:val="single" w:color="auto" w:sz="4" w:space="0"/>
            </w:tcBorders>
            <w:tcW w:w="710"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3、服从甲方统一管理,完成甲方安排的各项任务</w:t>
            </w:r>
            <w:r/>
          </w:p>
        </w:tc>
        <w:tc>
          <w:tcPr>
            <w:gridSpan w:val="2"/>
            <w:tcW w:w="3396" w:type="dxa"/>
            <w:vAlign w:val="center"/>
            <w:vMerge w:val="continue"/>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W w:w="562" w:type="dxa"/>
            <w:vAlign w:val="center"/>
            <w:vMerge w:val="continue"/>
            <w:textDirection w:val="lrTb"/>
            <w:noWrap/>
          </w:tcPr>
          <w:p>
            <w:pPr>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277"/>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合计</w:t>
            </w:r>
            <w:r/>
          </w:p>
        </w:tc>
        <w:tc>
          <w:tcPr>
            <w:tcBorders>
              <w:top w:val="single" w:color="auto" w:sz="4" w:space="0"/>
              <w:left w:val="single" w:color="auto" w:sz="4" w:space="0"/>
              <w:bottom w:val="single" w:color="auto" w:sz="4" w:space="0"/>
            </w:tcBorders>
            <w:tcW w:w="567"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100</w:t>
            </w:r>
            <w:r/>
          </w:p>
        </w:tc>
        <w:tc>
          <w:tcPr>
            <w:tcBorders>
              <w:top w:val="single" w:color="auto" w:sz="4" w:space="0"/>
              <w:left w:val="single" w:color="auto" w:sz="4" w:space="0"/>
              <w:bottom w:val="single" w:color="auto" w:sz="4" w:space="0"/>
            </w:tcBorders>
            <w:tcW w:w="4678"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bottom w:val="single" w:color="auto" w:sz="4" w:space="0"/>
            </w:tcBorders>
            <w:tcW w:w="1817"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r>
            <w:r/>
          </w:p>
        </w:tc>
        <w:tc>
          <w:tcPr>
            <w:tcBorders>
              <w:top w:val="single" w:color="auto" w:sz="4" w:space="0"/>
              <w:left w:val="single" w:color="auto" w:sz="4" w:space="0"/>
              <w:bottom w:val="single" w:color="auto" w:sz="4" w:space="0"/>
            </w:tcBorders>
            <w:tcW w:w="1579"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得分</w:t>
            </w:r>
            <w:r/>
          </w:p>
        </w:tc>
        <w:tc>
          <w:tcPr>
            <w:tcBorders>
              <w:bottom w:val="single" w:color="auto" w:sz="4" w:space="0"/>
            </w:tcBorders>
            <w:tcW w:w="562" w:type="dxa"/>
            <w:vAlign w:val="top"/>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r>
        <w:trPr>
          <w:cantSplit/>
          <w:jc w:val="center"/>
          <w:trHeight w:val="1035"/>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特别</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条款</w:t>
            </w:r>
            <w:r/>
          </w:p>
        </w:tc>
        <w:tc>
          <w:tcPr>
            <w:gridSpan w:val="4"/>
            <w:tcBorders>
              <w:top w:val="single" w:color="auto" w:sz="4" w:space="0"/>
              <w:left w:val="single" w:color="auto" w:sz="4" w:space="0"/>
              <w:bottom w:val="single" w:color="auto" w:sz="4" w:space="0"/>
            </w:tcBorders>
            <w:tcW w:w="8641" w:type="dxa"/>
            <w:vAlign w:val="center"/>
            <w:textDirection w:val="lrTb"/>
            <w:noWrap/>
          </w:tcPr>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被媒体曝光或受到各级领导通报批评的，发生一次扣5分；</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各部门发现的问题或者群众来信来访未能及时整改处理或回复处理不及时、不真实的，每次扣5分。</w:t>
            </w:r>
            <w:r/>
          </w:p>
          <w:p>
            <w:pPr>
              <w:keepLines w:val="0"/>
              <w:keepNext w:val="0"/>
              <w:pageBreakBefore w:val="0"/>
              <w:spacing w:line="480" w:lineRule="auto"/>
              <w:rPr>
                <w:rFonts w:hint="eastAsia" w:ascii="宋体" w:hAnsi="宋体" w:cs="Century"/>
                <w:color w:val="auto"/>
                <w:spacing w:val="2"/>
                <w:highlight w:val="none"/>
              </w:rPr>
            </w:pPr>
            <w:r>
              <w:rPr>
                <w:rFonts w:hint="eastAsia" w:ascii="宋体" w:hAnsi="宋体" w:cs="Century"/>
                <w:color w:val="auto"/>
                <w:spacing w:val="2"/>
                <w:highlight w:val="none"/>
              </w:rPr>
              <w:t xml:space="preserve">由长效管理，数字化执法局等部门对管养出现扣分的，直接按标准双倍扣分。</w:t>
            </w:r>
            <w:r/>
          </w:p>
        </w:tc>
        <w:tc>
          <w:tcPr>
            <w:tcBorders>
              <w:top w:val="single" w:color="auto" w:sz="4" w:space="0"/>
            </w:tcBorders>
            <w:tcW w:w="562" w:type="dxa"/>
            <w:vAlign w:val="top"/>
            <w:textDirection w:val="lrTb"/>
            <w:noWrap/>
          </w:tcPr>
          <w:p>
            <w:pPr>
              <w:jc w:val="left"/>
              <w:keepLines w:val="0"/>
              <w:keepNext w:val="0"/>
              <w:pageBreakBefore w:val="0"/>
              <w:spacing w:line="480" w:lineRule="auto"/>
              <w:widowControl/>
              <w:rPr>
                <w:rFonts w:hint="default" w:ascii="宋体" w:hAnsi="宋体"/>
                <w:color w:val="auto"/>
                <w:sz w:val="18"/>
                <w:szCs w:val="18"/>
                <w:highlight w:val="none"/>
              </w:rPr>
            </w:pPr>
            <w:r>
              <w:rPr>
                <w:rFonts w:hint="default" w:ascii="宋体" w:hAnsi="宋体"/>
                <w:color w:val="auto"/>
                <w:sz w:val="18"/>
                <w:szCs w:val="18"/>
                <w:highlight w:val="none"/>
              </w:rPr>
            </w:r>
            <w:r/>
          </w:p>
        </w:tc>
      </w:tr>
    </w:tbl>
    <w:p>
      <w:pPr>
        <w:keepLines w:val="0"/>
        <w:keepNext w:val="0"/>
        <w:pageBreakBefore w:val="0"/>
        <w:spacing w:line="480" w:lineRule="auto"/>
        <w:tabs>
          <w:tab w:val="left" w:pos="5025" w:leader="none"/>
        </w:tabs>
        <w:rPr>
          <w:rFonts w:hint="eastAsia" w:ascii="宋体" w:hAnsi="宋体" w:cs="Century"/>
          <w:color w:val="auto"/>
          <w:spacing w:val="2"/>
          <w:sz w:val="24"/>
          <w:highlight w:val="none"/>
        </w:rPr>
      </w:pPr>
      <w:r>
        <w:rPr>
          <w:rFonts w:hint="eastAsia" w:ascii="宋体" w:hAnsi="宋体" w:cs="Century"/>
          <w:color w:val="auto"/>
          <w:spacing w:val="2"/>
          <w:sz w:val="24"/>
          <w:highlight w:val="none"/>
        </w:rPr>
        <w:t xml:space="preserve">说明：1、考核细则实施扣分，每一项扣分以扣完本项目分值为止。</w:t>
      </w:r>
      <w:r/>
    </w:p>
    <w:p>
      <w:pPr>
        <w:ind w:firstLine="732"/>
        <w:keepLines w:val="0"/>
        <w:keepNext w:val="0"/>
        <w:pageBreakBefore w:val="0"/>
        <w:spacing w:line="480" w:lineRule="auto"/>
        <w:tabs>
          <w:tab w:val="left" w:pos="5025" w:leader="none"/>
        </w:tabs>
        <w:rPr>
          <w:rFonts w:hint="eastAsia" w:ascii="宋体" w:hAnsi="宋体" w:cs="Century"/>
          <w:color w:val="auto"/>
          <w:spacing w:val="2"/>
          <w:sz w:val="24"/>
          <w:highlight w:val="none"/>
        </w:rPr>
      </w:pPr>
      <w:r>
        <w:rPr>
          <w:rFonts w:hint="eastAsia" w:ascii="宋体" w:hAnsi="宋体" w:cs="Century"/>
          <w:color w:val="auto"/>
          <w:spacing w:val="2"/>
          <w:sz w:val="24"/>
          <w:highlight w:val="none"/>
        </w:rPr>
        <w:t xml:space="preserve">2、日常考核时，对于人员上岗、着装、日常保洁、病虫害以及一些直接造成损害的问题直接扣分；其他问题按要求整改处理，在规定期限未能处理到位的进行扣分，月考核中，发现问题直接扣分。</w:t>
      </w:r>
      <w:r/>
    </w:p>
    <w:p>
      <w:pPr>
        <w:ind w:firstLine="488"/>
        <w:keepLines w:val="0"/>
        <w:keepNext w:val="0"/>
        <w:pageBreakBefore w:val="0"/>
        <w:spacing w:line="480" w:lineRule="auto"/>
        <w:rPr>
          <w:rFonts w:hint="eastAsia" w:ascii="宋体" w:hAnsi="宋体" w:cs="Century"/>
          <w:color w:val="auto"/>
          <w:spacing w:val="2"/>
          <w:sz w:val="24"/>
          <w:highlight w:val="none"/>
        </w:rPr>
      </w:pPr>
      <w:r>
        <w:rPr>
          <w:rFonts w:hint="eastAsia" w:ascii="宋体" w:hAnsi="宋体" w:cs="Century"/>
          <w:color w:val="auto"/>
          <w:spacing w:val="2"/>
          <w:sz w:val="24"/>
          <w:highlight w:val="none"/>
        </w:rPr>
        <w:t xml:space="preserve">3、本细则最终解释权归天目湖镇人民政府。</w:t>
      </w:r>
      <w:r/>
    </w:p>
    <w:p>
      <w:pPr>
        <w:ind w:firstLine="482"/>
        <w:keepLines w:val="0"/>
        <w:keepNext w:val="0"/>
        <w:pageBreakBefore w:val="0"/>
        <w:spacing w:line="480" w:lineRule="auto"/>
        <w:tabs>
          <w:tab w:val="left" w:pos="5025" w:leader="none"/>
        </w:tabs>
        <w:rPr>
          <w:rFonts w:hint="eastAsia" w:ascii="宋体" w:hAnsi="宋体" w:cs="Century"/>
          <w:color w:val="auto"/>
          <w:spacing w:val="2"/>
          <w:sz w:val="24"/>
          <w:highlight w:val="none"/>
        </w:rPr>
      </w:pPr>
      <w:r>
        <w:rPr>
          <w:rFonts w:hint="eastAsia"/>
          <w:b/>
          <w:color w:val="auto"/>
          <w:sz w:val="24"/>
          <w:highlight w:val="none"/>
        </w:rPr>
        <w:t xml:space="preserve">绿化管养奖惩措施</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1）</w:t>
      </w:r>
      <w:r>
        <w:rPr>
          <w:rFonts w:hint="eastAsia" w:ascii="宋体" w:hAnsi="宋体" w:eastAsia="宋体" w:cs="Century"/>
          <w:color w:val="auto"/>
          <w:spacing w:val="2"/>
          <w:sz w:val="24"/>
          <w:szCs w:val="24"/>
          <w:highlight w:val="none"/>
        </w:rPr>
        <w:t xml:space="preserve">绿化管养综合评分在95分以上者（含95分）按合同价正常结算；综合评分在90（含）-95分，每下降1分，扣款200元，以此类推计算；85（含）-90分，每下降1分，扣款500元；综合评分在80（含）-85分，每下降1分，扣款1000元；综合评分在80分以下者，扣除当月养护经费。</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2）</w:t>
      </w:r>
      <w:r>
        <w:rPr>
          <w:rFonts w:hint="eastAsia" w:ascii="宋体" w:hAnsi="宋体" w:eastAsia="宋体" w:cs="Century"/>
          <w:color w:val="auto"/>
          <w:spacing w:val="2"/>
          <w:sz w:val="24"/>
          <w:szCs w:val="24"/>
          <w:highlight w:val="none"/>
        </w:rPr>
        <w:t xml:space="preserve">有下列情形之一的，</w:t>
      </w:r>
      <w:r>
        <w:rPr>
          <w:rFonts w:hint="eastAsia" w:ascii="宋体" w:hAnsi="宋体" w:cs="Century"/>
          <w:color w:val="auto"/>
          <w:spacing w:val="2"/>
          <w:sz w:val="24"/>
          <w:szCs w:val="24"/>
          <w:highlight w:val="none"/>
          <w:lang w:val="en-US" w:eastAsia="zh-CN"/>
        </w:rPr>
        <w:t xml:space="preserve">甲方</w:t>
      </w:r>
      <w:r>
        <w:rPr>
          <w:rFonts w:hint="eastAsia" w:ascii="宋体" w:hAnsi="宋体" w:eastAsia="宋体" w:cs="Century"/>
          <w:color w:val="auto"/>
          <w:spacing w:val="2"/>
          <w:sz w:val="24"/>
          <w:szCs w:val="24"/>
          <w:highlight w:val="none"/>
        </w:rPr>
        <w:t xml:space="preserve">有权单方终止与</w:t>
      </w:r>
      <w:r>
        <w:rPr>
          <w:rFonts w:hint="eastAsia" w:ascii="宋体" w:hAnsi="宋体" w:cs="Century"/>
          <w:color w:val="auto"/>
          <w:spacing w:val="2"/>
          <w:sz w:val="24"/>
          <w:szCs w:val="24"/>
          <w:highlight w:val="none"/>
          <w:lang w:val="en-US" w:eastAsia="zh-CN"/>
        </w:rPr>
        <w:t xml:space="preserve">乙方</w:t>
      </w:r>
      <w:r>
        <w:rPr>
          <w:rFonts w:hint="eastAsia" w:ascii="宋体" w:hAnsi="宋体" w:eastAsia="宋体" w:cs="Century"/>
          <w:color w:val="auto"/>
          <w:spacing w:val="2"/>
          <w:sz w:val="24"/>
          <w:szCs w:val="24"/>
          <w:highlight w:val="none"/>
        </w:rPr>
        <w:t xml:space="preserve">的管养合同，当月的管养经费不予结算：</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①、未按</w:t>
      </w:r>
      <w:r>
        <w:rPr>
          <w:rFonts w:hint="eastAsia" w:ascii="宋体" w:hAnsi="宋体" w:cs="Century"/>
          <w:color w:val="auto"/>
          <w:spacing w:val="2"/>
          <w:sz w:val="24"/>
          <w:szCs w:val="24"/>
          <w:highlight w:val="none"/>
          <w:lang w:val="en-US" w:eastAsia="zh-CN"/>
        </w:rPr>
        <w:t xml:space="preserve">磋商</w:t>
      </w:r>
      <w:r>
        <w:rPr>
          <w:rFonts w:hint="eastAsia" w:ascii="宋体" w:hAnsi="宋体" w:eastAsia="宋体" w:cs="Century"/>
          <w:color w:val="auto"/>
          <w:spacing w:val="2"/>
          <w:sz w:val="24"/>
          <w:szCs w:val="24"/>
          <w:highlight w:val="none"/>
        </w:rPr>
        <w:t xml:space="preserve">文件的要求</w:t>
      </w:r>
      <w:r>
        <w:rPr>
          <w:rFonts w:hint="eastAsia" w:ascii="宋体" w:hAnsi="宋体" w:cs="宋体"/>
          <w:color w:val="auto"/>
          <w:sz w:val="24"/>
          <w:highlight w:val="none"/>
        </w:rPr>
        <w:t xml:space="preserve">组织养护工作的（如管养期间没有固定经营场所、机具缺失等）</w:t>
      </w:r>
      <w:r>
        <w:rPr>
          <w:rFonts w:hint="eastAsia" w:ascii="宋体" w:hAnsi="宋体" w:eastAsia="宋体" w:cs="Century"/>
          <w:color w:val="auto"/>
          <w:spacing w:val="2"/>
          <w:sz w:val="24"/>
          <w:szCs w:val="24"/>
          <w:highlight w:val="none"/>
        </w:rPr>
        <w:t xml:space="preserve">；</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②、连续二次考核综合评分在80分以下的；</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③、管养合同进行转包的；</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④、</w:t>
      </w:r>
      <w:r>
        <w:rPr>
          <w:rFonts w:hint="eastAsia" w:ascii="宋体" w:hAnsi="宋体" w:cs="宋体"/>
          <w:color w:val="auto"/>
          <w:sz w:val="24"/>
          <w:highlight w:val="none"/>
        </w:rPr>
        <w:t xml:space="preserve">因工人集体罢工、上访、群众举报和投诉等事件致使</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名誉受损或其它损失的，除按考核要求扣分外，直接扣款2000元/次，情节特别严重的终止管养合同；</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3）</w:t>
      </w:r>
      <w:r>
        <w:rPr>
          <w:rFonts w:hint="eastAsia" w:ascii="宋体" w:hAnsi="宋体" w:eastAsia="宋体" w:cs="Century"/>
          <w:color w:val="auto"/>
          <w:spacing w:val="2"/>
          <w:sz w:val="24"/>
          <w:szCs w:val="24"/>
          <w:highlight w:val="none"/>
        </w:rPr>
        <w:t xml:space="preserve">绿化管养考核由日常考核巡查和月考核组成，</w:t>
      </w:r>
      <w:r>
        <w:rPr>
          <w:rFonts w:hint="eastAsia" w:ascii="宋体" w:hAnsi="宋体" w:cs="Century"/>
          <w:color w:val="auto"/>
          <w:spacing w:val="2"/>
          <w:sz w:val="24"/>
          <w:szCs w:val="24"/>
          <w:highlight w:val="none"/>
          <w:lang w:val="en-US" w:eastAsia="zh-CN"/>
        </w:rPr>
        <w:t xml:space="preserve">由甲方</w:t>
      </w:r>
      <w:r>
        <w:rPr>
          <w:rFonts w:hint="eastAsia" w:ascii="宋体" w:hAnsi="宋体" w:eastAsia="宋体" w:cs="Century"/>
          <w:color w:val="auto"/>
          <w:spacing w:val="2"/>
          <w:sz w:val="24"/>
          <w:szCs w:val="24"/>
          <w:highlight w:val="none"/>
        </w:rPr>
        <w:t xml:space="preserve">组织实施。</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4）</w:t>
      </w:r>
      <w:r>
        <w:rPr>
          <w:rFonts w:hint="eastAsia" w:ascii="宋体" w:hAnsi="宋体" w:cs="宋体"/>
          <w:color w:val="auto"/>
          <w:sz w:val="24"/>
          <w:highlight w:val="none"/>
        </w:rPr>
        <w:t xml:space="preserve">综合评分=</w:t>
      </w:r>
      <w:r>
        <w:rPr>
          <w:rFonts w:hint="eastAsia" w:ascii="宋体" w:hAnsi="宋体" w:cs="宋体"/>
          <w:color w:val="auto"/>
          <w:sz w:val="24"/>
          <w:highlight w:val="none"/>
          <w:lang w:eastAsia="zh-CN"/>
        </w:rPr>
        <w:t xml:space="preserve">100-日常考核扣分×30%-月度考核扣分×70%－特别条款扣分-其它扣分</w:t>
      </w:r>
      <w:r>
        <w:rPr>
          <w:rFonts w:hint="eastAsia" w:ascii="宋体" w:hAnsi="宋体" w:eastAsia="宋体" w:cs="Century"/>
          <w:color w:val="auto"/>
          <w:spacing w:val="2"/>
          <w:sz w:val="24"/>
          <w:szCs w:val="24"/>
          <w:highlight w:val="none"/>
        </w:rPr>
        <w:t xml:space="preserve">。</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5）</w:t>
      </w:r>
      <w:r>
        <w:rPr>
          <w:rFonts w:hint="eastAsia" w:ascii="宋体" w:hAnsi="宋体" w:eastAsia="宋体" w:cs="Century"/>
          <w:color w:val="auto"/>
          <w:spacing w:val="2"/>
          <w:sz w:val="24"/>
          <w:szCs w:val="24"/>
          <w:highlight w:val="none"/>
        </w:rPr>
        <w:t xml:space="preserve">暴露出的同一问题</w:t>
      </w:r>
      <w:r>
        <w:rPr>
          <w:rFonts w:hint="eastAsia" w:ascii="宋体" w:hAnsi="宋体" w:cs="Century"/>
          <w:color w:val="auto"/>
          <w:spacing w:val="2"/>
          <w:sz w:val="24"/>
          <w:szCs w:val="24"/>
          <w:highlight w:val="none"/>
          <w:lang w:val="en-US" w:eastAsia="zh-CN"/>
        </w:rPr>
        <w:t xml:space="preserve">甲方</w:t>
      </w:r>
      <w:r>
        <w:rPr>
          <w:rFonts w:hint="eastAsia" w:ascii="宋体" w:hAnsi="宋体" w:eastAsia="宋体" w:cs="Century"/>
          <w:color w:val="auto"/>
          <w:spacing w:val="2"/>
          <w:sz w:val="24"/>
          <w:szCs w:val="24"/>
          <w:highlight w:val="none"/>
        </w:rPr>
        <w:t xml:space="preserve">电话通知</w:t>
      </w:r>
      <w:r>
        <w:rPr>
          <w:rFonts w:hint="eastAsia" w:ascii="宋体" w:hAnsi="宋体" w:cs="Century"/>
          <w:color w:val="auto"/>
          <w:spacing w:val="2"/>
          <w:sz w:val="24"/>
          <w:szCs w:val="24"/>
          <w:highlight w:val="none"/>
          <w:lang w:val="en-US" w:eastAsia="zh-CN"/>
        </w:rPr>
        <w:t xml:space="preserve">乙方</w:t>
      </w:r>
      <w:r>
        <w:rPr>
          <w:rFonts w:hint="eastAsia" w:ascii="宋体" w:hAnsi="宋体" w:eastAsia="宋体" w:cs="Century"/>
          <w:color w:val="auto"/>
          <w:spacing w:val="2"/>
          <w:sz w:val="24"/>
          <w:szCs w:val="24"/>
          <w:highlight w:val="none"/>
        </w:rPr>
        <w:t xml:space="preserve">两次后仍未整改到位，</w:t>
      </w:r>
      <w:r>
        <w:rPr>
          <w:rFonts w:hint="eastAsia" w:ascii="宋体" w:hAnsi="宋体" w:cs="Century"/>
          <w:color w:val="auto"/>
          <w:spacing w:val="2"/>
          <w:sz w:val="24"/>
          <w:szCs w:val="24"/>
          <w:highlight w:val="none"/>
          <w:lang w:val="en-US" w:eastAsia="zh-CN"/>
        </w:rPr>
        <w:t xml:space="preserve">采购人</w:t>
      </w:r>
      <w:r>
        <w:rPr>
          <w:rFonts w:hint="eastAsia" w:ascii="宋体" w:hAnsi="宋体" w:eastAsia="宋体" w:cs="Century"/>
          <w:color w:val="auto"/>
          <w:spacing w:val="2"/>
          <w:sz w:val="24"/>
          <w:szCs w:val="24"/>
          <w:highlight w:val="none"/>
        </w:rPr>
        <w:t xml:space="preserve">将开出“整改通知书”，并在当月综合评分中扣除5分。</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6）</w:t>
      </w:r>
      <w:r>
        <w:rPr>
          <w:rFonts w:hint="eastAsia" w:ascii="宋体" w:hAnsi="宋体" w:eastAsia="宋体" w:cs="Century"/>
          <w:color w:val="auto"/>
          <w:spacing w:val="2"/>
          <w:sz w:val="24"/>
          <w:szCs w:val="24"/>
          <w:highlight w:val="none"/>
        </w:rPr>
        <w:t xml:space="preserve">日常检查过程中，出现下列情况时，除按规定扣分外，还需直接扣除养护经费：</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rPr>
        <w:t xml:space="preserve">①、处于失管状态的地块，</w:t>
      </w:r>
      <w:r>
        <w:rPr>
          <w:rFonts w:hint="eastAsia" w:ascii="宋体" w:hAnsi="宋体" w:cs="Century"/>
          <w:color w:val="auto"/>
          <w:spacing w:val="2"/>
          <w:sz w:val="24"/>
          <w:szCs w:val="24"/>
          <w:highlight w:val="none"/>
          <w:lang w:val="en-US" w:eastAsia="zh-CN"/>
        </w:rPr>
        <w:t xml:space="preserve">甲方</w:t>
      </w:r>
      <w:r>
        <w:rPr>
          <w:rFonts w:hint="eastAsia" w:ascii="宋体" w:hAnsi="宋体" w:eastAsia="宋体" w:cs="Century"/>
          <w:color w:val="auto"/>
          <w:spacing w:val="2"/>
          <w:sz w:val="24"/>
          <w:szCs w:val="24"/>
          <w:highlight w:val="none"/>
        </w:rPr>
        <w:t xml:space="preserve">有权根据失管的严重程度，在扣分的基础上，直接扣除当月的养护费用；</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7）</w:t>
      </w:r>
      <w:r>
        <w:rPr>
          <w:rFonts w:hint="eastAsia" w:ascii="宋体" w:hAnsi="宋体" w:eastAsia="宋体" w:cs="Century"/>
          <w:color w:val="auto"/>
          <w:spacing w:val="2"/>
          <w:sz w:val="24"/>
          <w:szCs w:val="24"/>
          <w:highlight w:val="none"/>
        </w:rPr>
        <w:t xml:space="preserve">该措施中所指的扣款是每月考核综合评分扣款，</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在结算资金时结清。</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8）</w:t>
      </w:r>
      <w:r>
        <w:rPr>
          <w:rFonts w:hint="eastAsia" w:ascii="宋体" w:hAnsi="宋体" w:eastAsia="宋体" w:cs="Century"/>
          <w:color w:val="auto"/>
          <w:spacing w:val="2"/>
          <w:sz w:val="24"/>
          <w:szCs w:val="24"/>
          <w:highlight w:val="none"/>
        </w:rPr>
        <w:t xml:space="preserve">如不当养护造成绿化损失或严重社会影响，如草坪杂化、乔木修剪过重、地被花境长势衰退或严重不良等由</w:t>
      </w:r>
      <w:r>
        <w:rPr>
          <w:rFonts w:hint="eastAsia" w:ascii="宋体" w:hAnsi="宋体" w:cs="Century"/>
          <w:color w:val="auto"/>
          <w:spacing w:val="2"/>
          <w:sz w:val="24"/>
          <w:szCs w:val="24"/>
          <w:highlight w:val="none"/>
          <w:lang w:val="en-US" w:eastAsia="zh-CN"/>
        </w:rPr>
        <w:t xml:space="preserve">乙方</w:t>
      </w:r>
      <w:r>
        <w:rPr>
          <w:rFonts w:hint="eastAsia" w:ascii="宋体" w:hAnsi="宋体" w:eastAsia="宋体" w:cs="Century"/>
          <w:color w:val="auto"/>
          <w:spacing w:val="2"/>
          <w:sz w:val="24"/>
          <w:szCs w:val="24"/>
          <w:highlight w:val="none"/>
        </w:rPr>
        <w:t xml:space="preserve">负责更新，费用由</w:t>
      </w:r>
      <w:r>
        <w:rPr>
          <w:rFonts w:hint="eastAsia" w:ascii="宋体" w:hAnsi="宋体" w:cs="Century"/>
          <w:color w:val="auto"/>
          <w:spacing w:val="2"/>
          <w:sz w:val="24"/>
          <w:szCs w:val="24"/>
          <w:highlight w:val="none"/>
          <w:lang w:val="en-US" w:eastAsia="zh-CN"/>
        </w:rPr>
        <w:t xml:space="preserve">乙方</w:t>
      </w:r>
      <w:r>
        <w:rPr>
          <w:rFonts w:hint="eastAsia" w:ascii="宋体" w:hAnsi="宋体" w:eastAsia="宋体" w:cs="Century"/>
          <w:color w:val="auto"/>
          <w:spacing w:val="2"/>
          <w:sz w:val="24"/>
          <w:szCs w:val="24"/>
          <w:highlight w:val="none"/>
        </w:rPr>
        <w:t xml:space="preserve">自行承担。</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9）</w:t>
      </w:r>
      <w:r>
        <w:rPr>
          <w:rFonts w:hint="eastAsia" w:ascii="宋体" w:hAnsi="宋体" w:eastAsia="宋体" w:cs="Century"/>
          <w:color w:val="auto"/>
          <w:spacing w:val="2"/>
          <w:sz w:val="24"/>
          <w:szCs w:val="24"/>
          <w:highlight w:val="none"/>
        </w:rPr>
        <w:t xml:space="preserve">一年绿化养护施肥二到三次，可根据实际情况将施肥的图片和资料上报，年终没有上报图片和资料的，扣除最后季度考核费用10%。</w:t>
      </w:r>
      <w:r/>
    </w:p>
    <w:p>
      <w:pPr>
        <w:ind w:firstLine="488"/>
        <w:spacing w:line="360" w:lineRule="auto"/>
        <w:tabs>
          <w:tab w:val="left" w:pos="5025" w:leader="none"/>
        </w:tabs>
        <w:rPr>
          <w:rFonts w:hint="eastAsia" w:ascii="宋体" w:hAnsi="宋体" w:eastAsia="宋体" w:cs="Century"/>
          <w:color w:val="auto"/>
          <w:spacing w:val="2"/>
          <w:sz w:val="24"/>
          <w:szCs w:val="24"/>
          <w:highlight w:val="none"/>
        </w:rPr>
      </w:pPr>
      <w:r>
        <w:rPr>
          <w:rFonts w:hint="eastAsia" w:ascii="宋体" w:hAnsi="宋体" w:eastAsia="宋体" w:cs="Century"/>
          <w:color w:val="auto"/>
          <w:spacing w:val="2"/>
          <w:sz w:val="24"/>
          <w:szCs w:val="24"/>
          <w:highlight w:val="none"/>
          <w:lang w:val="en-US" w:eastAsia="zh-CN"/>
        </w:rPr>
        <w:t xml:space="preserve">10）</w:t>
      </w:r>
      <w:r>
        <w:rPr>
          <w:rFonts w:hint="eastAsia" w:ascii="宋体" w:hAnsi="宋体" w:eastAsia="宋体" w:cs="Century"/>
          <w:color w:val="auto"/>
          <w:spacing w:val="2"/>
          <w:sz w:val="24"/>
          <w:szCs w:val="24"/>
          <w:highlight w:val="none"/>
        </w:rPr>
        <w:t xml:space="preserve">应急管理：</w:t>
      </w:r>
      <w:r>
        <w:rPr>
          <w:rFonts w:hint="eastAsia" w:ascii="宋体" w:hAnsi="宋体" w:cs="Century"/>
          <w:color w:val="auto"/>
          <w:spacing w:val="2"/>
          <w:sz w:val="24"/>
          <w:szCs w:val="24"/>
          <w:highlight w:val="none"/>
          <w:lang w:val="en-US" w:eastAsia="zh-CN"/>
        </w:rPr>
        <w:t xml:space="preserve">乙方</w:t>
      </w:r>
      <w:r>
        <w:rPr>
          <w:rFonts w:hint="eastAsia" w:ascii="宋体" w:hAnsi="宋体" w:eastAsia="宋体" w:cs="Century"/>
          <w:color w:val="auto"/>
          <w:spacing w:val="2"/>
          <w:sz w:val="24"/>
          <w:szCs w:val="24"/>
          <w:highlight w:val="none"/>
        </w:rPr>
        <w:t xml:space="preserve">必须制定灾害性天气应急预案，建立一支稳定的应急抢险队伍，并配备必须的应急设备，确保出现灾害性天气时，能够第一时间投入抢险救灾，并服从甲方另行安排的其它范围内的应急抢险任务，费用由</w:t>
      </w:r>
      <w:r>
        <w:rPr>
          <w:rFonts w:hint="eastAsia" w:ascii="宋体" w:hAnsi="宋体" w:cs="Century"/>
          <w:color w:val="auto"/>
          <w:spacing w:val="2"/>
          <w:sz w:val="24"/>
          <w:szCs w:val="24"/>
          <w:highlight w:val="none"/>
          <w:lang w:val="en-US" w:eastAsia="zh-CN"/>
        </w:rPr>
        <w:t xml:space="preserve">乙方</w:t>
      </w:r>
      <w:r>
        <w:rPr>
          <w:rFonts w:hint="eastAsia" w:ascii="宋体" w:hAnsi="宋体" w:eastAsia="宋体" w:cs="Century"/>
          <w:color w:val="auto"/>
          <w:spacing w:val="2"/>
          <w:sz w:val="24"/>
          <w:szCs w:val="24"/>
          <w:highlight w:val="none"/>
        </w:rPr>
        <w:t xml:space="preserve">承担。</w:t>
      </w:r>
      <w:r/>
    </w:p>
    <w:p>
      <w:pPr>
        <w:ind w:firstLine="488"/>
        <w:keepLines w:val="0"/>
        <w:keepNext w:val="0"/>
        <w:pageBreakBefore w:val="0"/>
        <w:spacing w:line="480" w:lineRule="auto"/>
        <w:tabs>
          <w:tab w:val="left" w:pos="5025" w:leader="none"/>
        </w:tabs>
        <w:rPr>
          <w:rFonts w:hint="eastAsia" w:ascii="宋体" w:hAnsi="宋体" w:cs="Century"/>
          <w:color w:val="auto"/>
          <w:spacing w:val="2"/>
          <w:sz w:val="24"/>
          <w:highlight w:val="none"/>
        </w:rPr>
        <w:sectPr>
          <w:footnotePr/>
          <w:endnotePr/>
          <w:type w:val="nextPage"/>
          <w:pgSz w:w="11907" w:h="16840" w:orient="portrait"/>
          <w:pgMar w:top="1304" w:right="1304" w:bottom="1304" w:left="1304" w:header="851" w:footer="851" w:gutter="0"/>
          <w:cols w:num="1" w:sep="0" w:space="1701" w:equalWidth="1"/>
          <w:docGrid w:linePitch="360"/>
        </w:sectPr>
      </w:pPr>
      <w:r>
        <w:rPr>
          <w:rFonts w:hint="eastAsia" w:ascii="宋体" w:hAnsi="宋体" w:eastAsia="宋体" w:cs="Century"/>
          <w:color w:val="auto"/>
          <w:spacing w:val="2"/>
          <w:sz w:val="24"/>
          <w:szCs w:val="24"/>
          <w:highlight w:val="none"/>
        </w:rPr>
        <w:t xml:space="preserve">11</w:t>
      </w:r>
      <w:r>
        <w:rPr>
          <w:rFonts w:hint="eastAsia" w:ascii="宋体" w:hAnsi="宋体" w:eastAsia="宋体" w:cs="Century"/>
          <w:color w:val="auto"/>
          <w:spacing w:val="2"/>
          <w:sz w:val="24"/>
          <w:szCs w:val="24"/>
          <w:highlight w:val="none"/>
          <w:lang w:eastAsia="zh-CN"/>
        </w:rPr>
        <w:t xml:space="preserve">）</w:t>
      </w:r>
      <w:r>
        <w:rPr>
          <w:rFonts w:hint="eastAsia" w:ascii="宋体" w:hAnsi="宋体" w:eastAsia="宋体" w:cs="Century"/>
          <w:color w:val="auto"/>
          <w:spacing w:val="2"/>
          <w:sz w:val="24"/>
          <w:szCs w:val="24"/>
          <w:highlight w:val="none"/>
        </w:rPr>
        <w:t xml:space="preserve">安全责任事故等风险问题：</w:t>
      </w:r>
      <w:r>
        <w:rPr>
          <w:rFonts w:hint="eastAsia" w:ascii="宋体" w:hAnsi="宋体" w:cs="Century"/>
          <w:color w:val="auto"/>
          <w:spacing w:val="2"/>
          <w:sz w:val="24"/>
          <w:szCs w:val="24"/>
          <w:highlight w:val="none"/>
          <w:lang w:val="en-US" w:eastAsia="zh-CN"/>
        </w:rPr>
        <w:t xml:space="preserve">管养</w:t>
      </w:r>
      <w:r>
        <w:rPr>
          <w:rFonts w:hint="eastAsia" w:ascii="宋体" w:hAnsi="宋体" w:eastAsia="宋体" w:cs="Century"/>
          <w:color w:val="auto"/>
          <w:spacing w:val="2"/>
          <w:sz w:val="24"/>
          <w:szCs w:val="24"/>
          <w:highlight w:val="none"/>
        </w:rPr>
        <w:t xml:space="preserve">期内，养护单位须加强安全生产管理，积极主动采取防范措施，解除安全隐患，同时为养护工人购买保险等方式来规避风险。如养护</w:t>
      </w:r>
      <w:r>
        <w:rPr>
          <w:rFonts w:hint="eastAsia" w:ascii="宋体" w:hAnsi="宋体" w:cs="Century"/>
          <w:color w:val="auto"/>
          <w:spacing w:val="2"/>
          <w:sz w:val="24"/>
          <w:szCs w:val="24"/>
          <w:highlight w:val="none"/>
          <w:lang w:val="en-US" w:eastAsia="zh-CN"/>
        </w:rPr>
        <w:t xml:space="preserve">过程</w:t>
      </w:r>
      <w:r>
        <w:rPr>
          <w:rFonts w:hint="eastAsia" w:ascii="宋体" w:hAnsi="宋体" w:eastAsia="宋体" w:cs="Century"/>
          <w:color w:val="auto"/>
          <w:spacing w:val="2"/>
          <w:sz w:val="24"/>
          <w:szCs w:val="24"/>
          <w:highlight w:val="none"/>
        </w:rPr>
        <w:t xml:space="preserve">中发生安全事故、人员伤亡事件，由</w:t>
      </w:r>
      <w:r>
        <w:rPr>
          <w:rFonts w:hint="eastAsia" w:ascii="宋体" w:hAnsi="宋体" w:cs="Century"/>
          <w:color w:val="auto"/>
          <w:spacing w:val="2"/>
          <w:sz w:val="24"/>
          <w:szCs w:val="24"/>
          <w:highlight w:val="none"/>
          <w:lang w:val="en-US" w:eastAsia="zh-CN"/>
        </w:rPr>
        <w:t xml:space="preserve">成交供应商</w:t>
      </w:r>
      <w:r>
        <w:rPr>
          <w:rFonts w:hint="eastAsia" w:ascii="宋体" w:hAnsi="宋体" w:eastAsia="宋体" w:cs="Century"/>
          <w:color w:val="auto"/>
          <w:spacing w:val="2"/>
          <w:sz w:val="24"/>
          <w:szCs w:val="24"/>
          <w:highlight w:val="none"/>
        </w:rPr>
        <w:t xml:space="preserve">负责处理解决，处理过程中发生的费用（包括赔偿费用）由</w:t>
      </w:r>
      <w:r>
        <w:rPr>
          <w:rFonts w:hint="eastAsia" w:ascii="宋体" w:hAnsi="宋体" w:cs="Century"/>
          <w:color w:val="auto"/>
          <w:spacing w:val="2"/>
          <w:sz w:val="24"/>
          <w:szCs w:val="24"/>
          <w:highlight w:val="none"/>
          <w:lang w:val="en-US" w:eastAsia="zh-CN"/>
        </w:rPr>
        <w:t xml:space="preserve">乙方</w:t>
      </w:r>
      <w:r>
        <w:rPr>
          <w:rFonts w:hint="eastAsia" w:ascii="宋体" w:hAnsi="宋体" w:eastAsia="宋体" w:cs="Century"/>
          <w:color w:val="auto"/>
          <w:spacing w:val="2"/>
          <w:sz w:val="24"/>
          <w:szCs w:val="24"/>
          <w:highlight w:val="none"/>
        </w:rPr>
        <w:t xml:space="preserve">承担</w:t>
      </w:r>
      <w:r>
        <w:rPr>
          <w:rFonts w:hint="eastAsia" w:ascii="宋体" w:hAnsi="宋体" w:cs="Century"/>
          <w:color w:val="auto"/>
          <w:spacing w:val="2"/>
          <w:sz w:val="24"/>
          <w:highlight w:val="none"/>
        </w:rPr>
        <w:t xml:space="preserve">。</w:t>
      </w:r>
      <w:r/>
    </w:p>
    <w:p>
      <w:pPr>
        <w:jc w:val="center"/>
        <w:spacing w:line="360" w:lineRule="auto"/>
        <w:rPr>
          <w:b/>
          <w:color w:val="auto"/>
          <w:sz w:val="36"/>
          <w:szCs w:val="36"/>
          <w:highlight w:val="none"/>
        </w:rPr>
        <w:outlineLvl w:val="0"/>
      </w:pPr>
      <w:r/>
      <w:bookmarkStart w:id="671" w:name="_Toc104818930"/>
      <w:r>
        <w:rPr>
          <w:b/>
          <w:color w:val="auto"/>
          <w:sz w:val="36"/>
          <w:szCs w:val="36"/>
          <w:highlight w:val="none"/>
        </w:rPr>
        <w:t xml:space="preserve">第六章   响应文件格式</w:t>
      </w:r>
      <w:bookmarkEnd w:id="671"/>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jc w:val="center"/>
        <w:rPr>
          <w:b/>
          <w:color w:val="auto"/>
          <w:spacing w:val="60"/>
          <w:sz w:val="52"/>
          <w:szCs w:val="52"/>
          <w:highlight w:val="none"/>
        </w:rPr>
      </w:pPr>
      <w:r>
        <w:rPr>
          <w:b/>
          <w:color w:val="auto"/>
          <w:spacing w:val="60"/>
          <w:sz w:val="52"/>
          <w:szCs w:val="52"/>
          <w:highlight w:val="none"/>
        </w:rPr>
      </w:r>
      <w:r/>
    </w:p>
    <w:p>
      <w:pPr>
        <w:jc w:val="center"/>
        <w:rPr>
          <w:b/>
          <w:color w:val="auto"/>
          <w:spacing w:val="60"/>
          <w:sz w:val="52"/>
          <w:szCs w:val="52"/>
          <w:highlight w:val="none"/>
        </w:rPr>
      </w:pPr>
      <w:r>
        <w:rPr>
          <w:b/>
          <w:color w:val="auto"/>
          <w:spacing w:val="60"/>
          <w:sz w:val="52"/>
          <w:szCs w:val="52"/>
          <w:highlight w:val="none"/>
        </w:rPr>
      </w:r>
      <w:r/>
    </w:p>
    <w:p>
      <w:pPr>
        <w:jc w:val="center"/>
        <w:rPr>
          <w:b/>
          <w:color w:val="auto"/>
          <w:spacing w:val="60"/>
          <w:sz w:val="52"/>
          <w:szCs w:val="52"/>
          <w:highlight w:val="none"/>
        </w:rPr>
      </w:pPr>
      <w:r>
        <w:rPr>
          <w:b/>
          <w:color w:val="auto"/>
          <w:spacing w:val="60"/>
          <w:sz w:val="52"/>
          <w:szCs w:val="52"/>
          <w:highlight w:val="none"/>
        </w:rPr>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b/>
          <w:color w:val="auto"/>
          <w:sz w:val="36"/>
          <w:highlight w:val="none"/>
        </w:rPr>
      </w:pPr>
      <w:r>
        <w:rPr>
          <w:b/>
          <w:color w:val="auto"/>
          <w:sz w:val="36"/>
          <w:highlight w:val="none"/>
        </w:rPr>
        <w:t xml:space="preserve">项 目 名 称：</w:t>
      </w:r>
      <w:r>
        <w:rPr>
          <w:b/>
          <w:color w:val="auto"/>
          <w:sz w:val="36"/>
          <w:highlight w:val="none"/>
          <w:u w:val="single"/>
        </w:rPr>
        <w:t xml:space="preserve">               </w:t>
      </w:r>
      <w:r/>
    </w:p>
    <w:p>
      <w:pPr>
        <w:ind w:firstLine="1084"/>
        <w:rPr>
          <w:b/>
          <w:color w:val="auto"/>
          <w:sz w:val="36"/>
          <w:highlight w:val="none"/>
          <w:u w:val="single"/>
        </w:rPr>
      </w:pPr>
      <w:r>
        <w:rPr>
          <w:b/>
          <w:color w:val="auto"/>
          <w:sz w:val="36"/>
          <w:highlight w:val="none"/>
        </w:rPr>
        <w:t xml:space="preserve">项 目 编 号：</w:t>
      </w:r>
      <w:r>
        <w:rPr>
          <w:b/>
          <w:color w:val="auto"/>
          <w:sz w:val="36"/>
          <w:highlight w:val="none"/>
          <w:u w:val="single"/>
        </w:rPr>
        <w:t xml:space="preserve">               </w:t>
      </w:r>
      <w:r/>
    </w:p>
    <w:p>
      <w:pPr>
        <w:rPr>
          <w:b/>
          <w:color w:val="auto"/>
          <w:sz w:val="36"/>
          <w:highlight w:val="none"/>
          <w:u w:val="single"/>
        </w:rPr>
      </w:pPr>
      <w:r>
        <w:rPr>
          <w:b/>
          <w:color w:val="auto"/>
          <w:sz w:val="36"/>
          <w:highlight w:val="none"/>
        </w:rPr>
        <w:t xml:space="preserve">      供应商名称 ：</w:t>
      </w:r>
      <w:r>
        <w:rPr>
          <w:b/>
          <w:color w:val="auto"/>
          <w:sz w:val="36"/>
          <w:highlight w:val="none"/>
          <w:u w:val="single"/>
        </w:rPr>
        <w:t xml:space="preserve">               </w:t>
      </w:r>
      <w:r/>
    </w:p>
    <w:p>
      <w:pPr>
        <w:rPr>
          <w:b/>
          <w:color w:val="auto"/>
          <w:sz w:val="36"/>
          <w:highlight w:val="none"/>
        </w:rPr>
      </w:pPr>
      <w:r>
        <w:rPr>
          <w:b/>
          <w:color w:val="auto"/>
          <w:sz w:val="36"/>
          <w:highlight w:val="none"/>
        </w:rPr>
        <w:t xml:space="preserve">      日      期 ：</w:t>
      </w:r>
      <w:r>
        <w:rPr>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976"/>
        <w:rPr>
          <w:rFonts w:ascii="Times New Roman"/>
          <w:b w:val="0"/>
          <w:bCs/>
          <w:color w:val="auto"/>
          <w:highlight w:val="none"/>
          <w:u w:val="none"/>
        </w:rPr>
      </w:pPr>
      <w:r>
        <w:rPr>
          <w:rFonts w:ascii="Times New Roman"/>
          <w:b w:val="0"/>
          <w:color w:val="auto"/>
          <w:highlight w:val="none"/>
          <w:u w:val="none"/>
        </w:rPr>
        <w:t xml:space="preserve">1-1 供应商资格声明函（实质性格式）</w:t>
      </w:r>
      <w:r/>
    </w:p>
    <w:p>
      <w:pPr>
        <w:jc w:val="center"/>
        <w:spacing w:before="120" w:line="360" w:lineRule="auto"/>
        <w:widowControl/>
        <w:rPr>
          <w:b/>
          <w:color w:val="auto"/>
          <w:sz w:val="28"/>
          <w:szCs w:val="28"/>
          <w:highlight w:val="none"/>
        </w:rPr>
      </w:pPr>
      <w:r>
        <w:rPr>
          <w:b/>
          <w:color w:val="auto"/>
          <w:sz w:val="28"/>
          <w:szCs w:val="28"/>
          <w:highlight w:val="none"/>
        </w:rPr>
      </w:r>
      <w:r/>
    </w:p>
    <w:p>
      <w:pPr>
        <w:jc w:val="center"/>
        <w:spacing w:before="120" w:line="360" w:lineRule="auto"/>
        <w:widowControl/>
        <w:rPr>
          <w:color w:val="auto"/>
          <w:szCs w:val="21"/>
          <w:highlight w:val="none"/>
        </w:rPr>
      </w:pPr>
      <w:r>
        <w:rPr>
          <w:b/>
          <w:color w:val="auto"/>
          <w:sz w:val="28"/>
          <w:szCs w:val="28"/>
          <w:highlight w:val="none"/>
        </w:rPr>
        <w:t xml:space="preserve">供应商资格声明函</w:t>
      </w:r>
      <w:r/>
    </w:p>
    <w:p>
      <w:pPr>
        <w:pStyle w:val="977"/>
        <w:ind w:firstLine="480"/>
        <w:spacing w:line="460" w:lineRule="exact"/>
        <w:rPr>
          <w:rFonts w:ascii="Times New Roman"/>
          <w:color w:val="auto"/>
          <w:highlight w:val="none"/>
        </w:rPr>
      </w:pPr>
      <w:r>
        <w:rPr>
          <w:rFonts w:ascii="Times New Roman"/>
          <w:color w:val="auto"/>
          <w:highlight w:val="none"/>
        </w:rPr>
      </w:r>
      <w:r/>
    </w:p>
    <w:p>
      <w:pPr>
        <w:pStyle w:val="977"/>
        <w:ind w:firstLine="480"/>
        <w:spacing w:line="460" w:lineRule="exact"/>
        <w:rPr>
          <w:rFonts w:ascii="Times New Roman"/>
          <w:color w:val="auto"/>
          <w:highlight w:val="none"/>
        </w:rPr>
      </w:pPr>
      <w:r>
        <w:rPr>
          <w:rFonts w:ascii="Times New Roman"/>
          <w:color w:val="auto"/>
          <w:highlight w:val="none"/>
        </w:rPr>
        <w:t xml:space="preserve">致：</w:t>
      </w:r>
      <w:r>
        <w:rPr>
          <w:rFonts w:ascii="Times New Roman"/>
          <w:color w:val="auto"/>
          <w:highlight w:val="none"/>
          <w:u w:val="single"/>
        </w:rPr>
        <w:t xml:space="preserve">（采购人名称）</w:t>
      </w:r>
      <w:r/>
    </w:p>
    <w:p>
      <w:pPr>
        <w:pStyle w:val="977"/>
        <w:ind w:firstLine="480"/>
        <w:spacing w:line="460" w:lineRule="exact"/>
        <w:rPr>
          <w:rFonts w:ascii="Times New Roman"/>
          <w:color w:val="auto"/>
          <w:highlight w:val="none"/>
        </w:rPr>
      </w:pPr>
      <w:r>
        <w:rPr>
          <w:rFonts w:ascii="Times New Roman"/>
          <w:color w:val="auto"/>
          <w:highlight w:val="none"/>
        </w:rPr>
      </w:r>
      <w:r/>
    </w:p>
    <w:p>
      <w:pPr>
        <w:pStyle w:val="977"/>
        <w:ind w:firstLine="480"/>
        <w:spacing w:line="460" w:lineRule="exact"/>
        <w:rPr>
          <w:rFonts w:ascii="Times New Roman"/>
          <w:color w:val="auto"/>
          <w:highlight w:val="none"/>
        </w:rPr>
      </w:pPr>
      <w:r>
        <w:rPr>
          <w:rFonts w:ascii="Times New Roman"/>
          <w:color w:val="auto"/>
          <w:highlight w:val="none"/>
        </w:rPr>
        <w:t xml:space="preserve">按照《中华人民共和国政府采购法》第二十二条和磋商文件的规定，我单位郑重声明如下：</w:t>
      </w:r>
      <w:r/>
    </w:p>
    <w:p>
      <w:pPr>
        <w:pStyle w:val="977"/>
        <w:ind w:firstLine="480"/>
        <w:spacing w:line="460" w:lineRule="exact"/>
        <w:rPr>
          <w:rFonts w:ascii="Times New Roman"/>
          <w:color w:val="auto"/>
          <w:highlight w:val="none"/>
        </w:rPr>
      </w:pPr>
      <w:r>
        <w:rPr>
          <w:rFonts w:ascii="Times New Roman"/>
          <w:color w:val="auto"/>
          <w:highlight w:val="none"/>
        </w:rPr>
        <w:t xml:space="preserve">一、我单位是按照中华人民共和国法律规定登记注册的，注册地点为</w:t>
      </w:r>
      <w:r>
        <w:rPr>
          <w:rFonts w:ascii="Times New Roman"/>
          <w:color w:val="auto"/>
          <w:highlight w:val="none"/>
          <w:u w:val="single"/>
        </w:rPr>
        <w:t xml:space="preserve">         </w:t>
      </w:r>
      <w:r>
        <w:rPr>
          <w:rFonts w:ascii="Times New Roman"/>
          <w:color w:val="auto"/>
          <w:highlight w:val="none"/>
        </w:rPr>
        <w:t xml:space="preserve">，全称为</w:t>
      </w:r>
      <w:r>
        <w:rPr>
          <w:rFonts w:ascii="Times New Roman"/>
          <w:color w:val="auto"/>
          <w:highlight w:val="none"/>
          <w:u w:val="single"/>
        </w:rPr>
        <w:t xml:space="preserve">        </w:t>
      </w:r>
      <w:r>
        <w:rPr>
          <w:rFonts w:ascii="Times New Roman"/>
          <w:color w:val="auto"/>
          <w:highlight w:val="none"/>
        </w:rPr>
        <w:t xml:space="preserve">，统一社会信用代码为</w:t>
      </w:r>
      <w:r>
        <w:rPr>
          <w:rFonts w:ascii="Times New Roman"/>
          <w:color w:val="auto"/>
          <w:highlight w:val="none"/>
          <w:u w:val="single"/>
        </w:rPr>
        <w:t xml:space="preserve">           </w:t>
      </w:r>
      <w:r>
        <w:rPr>
          <w:rFonts w:ascii="Times New Roman"/>
          <w:color w:val="auto"/>
          <w:highlight w:val="none"/>
        </w:rPr>
        <w:t xml:space="preserve"> ，法定代表人（单位负责人）为</w:t>
      </w:r>
      <w:r>
        <w:rPr>
          <w:rFonts w:ascii="Times New Roman"/>
          <w:color w:val="auto"/>
          <w:highlight w:val="none"/>
          <w:u w:val="single"/>
        </w:rPr>
        <w:t xml:space="preserve">         </w:t>
      </w:r>
      <w:r>
        <w:rPr>
          <w:rFonts w:ascii="Times New Roman"/>
          <w:color w:val="auto"/>
          <w:highlight w:val="none"/>
        </w:rPr>
        <w:t xml:space="preserve">，具有独立承担民事责任的能力。</w:t>
      </w:r>
      <w:r/>
    </w:p>
    <w:p>
      <w:pPr>
        <w:pStyle w:val="977"/>
        <w:ind w:firstLine="480"/>
        <w:spacing w:line="460" w:lineRule="exact"/>
        <w:rPr>
          <w:rFonts w:ascii="Times New Roman"/>
          <w:color w:val="auto"/>
          <w:highlight w:val="none"/>
        </w:rPr>
      </w:pPr>
      <w:r>
        <w:rPr>
          <w:rFonts w:hint="eastAsia" w:ascii="Times New Roman"/>
          <w:color w:val="auto"/>
          <w:highlight w:val="none"/>
        </w:rPr>
        <w:t xml:space="preserve">二</w:t>
      </w:r>
      <w:r>
        <w:rPr>
          <w:rFonts w:ascii="Times New Roman"/>
          <w:color w:val="auto"/>
          <w:highlight w:val="none"/>
        </w:rPr>
        <w:t xml:space="preserve">、我单位具有良好的商业信誉（指供应商经营状况良好，无本资格声明第</w:t>
      </w:r>
      <w:r>
        <w:rPr>
          <w:rFonts w:hint="eastAsia" w:ascii="Times New Roman"/>
          <w:color w:val="auto"/>
          <w:highlight w:val="none"/>
          <w:lang w:val="en-US" w:eastAsia="zh-CN"/>
        </w:rPr>
        <w:t xml:space="preserve">九</w:t>
      </w:r>
      <w:r>
        <w:rPr>
          <w:rFonts w:ascii="Times New Roman"/>
          <w:color w:val="auto"/>
          <w:highlight w:val="none"/>
        </w:rPr>
        <w:t xml:space="preserve">条情形）和健全的财务会计制度。</w:t>
      </w:r>
      <w:r/>
    </w:p>
    <w:p>
      <w:pPr>
        <w:pStyle w:val="977"/>
        <w:ind w:firstLine="480"/>
        <w:spacing w:line="460" w:lineRule="exact"/>
        <w:rPr>
          <w:rFonts w:ascii="Times New Roman"/>
          <w:color w:val="auto"/>
          <w:highlight w:val="none"/>
        </w:rPr>
      </w:pPr>
      <w:r>
        <w:rPr>
          <w:rFonts w:hint="eastAsia" w:ascii="Times New Roman"/>
          <w:color w:val="auto"/>
          <w:highlight w:val="none"/>
        </w:rPr>
        <w:t xml:space="preserve">三</w:t>
      </w:r>
      <w:r>
        <w:rPr>
          <w:rFonts w:ascii="Times New Roman"/>
          <w:color w:val="auto"/>
          <w:highlight w:val="none"/>
        </w:rPr>
        <w:t xml:space="preserve">、我单位依法进行纳税和社会保险申报并实际履行了义务。</w:t>
      </w:r>
      <w:r/>
    </w:p>
    <w:p>
      <w:pPr>
        <w:pStyle w:val="977"/>
        <w:ind w:firstLine="480"/>
        <w:spacing w:line="460" w:lineRule="exact"/>
        <w:rPr>
          <w:rFonts w:ascii="Times New Roman"/>
          <w:color w:val="auto"/>
          <w:highlight w:val="none"/>
        </w:rPr>
      </w:pPr>
      <w:r>
        <w:rPr>
          <w:rFonts w:hint="eastAsia" w:ascii="Times New Roman"/>
          <w:color w:val="auto"/>
          <w:highlight w:val="none"/>
        </w:rPr>
        <w:t xml:space="preserve">四</w:t>
      </w:r>
      <w:r>
        <w:rPr>
          <w:rFonts w:ascii="Times New Roman"/>
          <w:color w:val="auto"/>
          <w:highlight w:val="none"/>
        </w:rPr>
        <w:t xml:space="preserve">、我单位具有履行本项目采购合同所必需的设备和专业技术能力，并具有履行合同的良好记录。为履行本项采购合同我单位具备如下主要设备和主要专业技术能力:</w:t>
      </w:r>
      <w:r/>
    </w:p>
    <w:p>
      <w:pPr>
        <w:pStyle w:val="977"/>
        <w:ind w:firstLine="480"/>
        <w:spacing w:line="460" w:lineRule="exact"/>
        <w:rPr>
          <w:rFonts w:ascii="Times New Roman"/>
          <w:color w:val="auto"/>
          <w:highlight w:val="none"/>
        </w:rPr>
      </w:pPr>
      <w:r>
        <w:rPr>
          <w:rFonts w:ascii="Times New Roman"/>
          <w:color w:val="auto"/>
          <w:highlight w:val="none"/>
        </w:rPr>
        <w:t xml:space="preserve">主要设备有：</w:t>
      </w:r>
      <w:r>
        <w:rPr>
          <w:rFonts w:ascii="Times New Roman"/>
          <w:color w:val="auto"/>
          <w:highlight w:val="none"/>
          <w:u w:val="single"/>
        </w:rPr>
        <w:t xml:space="preserve">            </w:t>
      </w:r>
      <w:r/>
    </w:p>
    <w:p>
      <w:pPr>
        <w:pStyle w:val="977"/>
        <w:ind w:firstLine="480"/>
        <w:spacing w:line="460" w:lineRule="exact"/>
        <w:rPr>
          <w:rFonts w:ascii="Times New Roman"/>
          <w:color w:val="auto"/>
          <w:highlight w:val="none"/>
        </w:rPr>
      </w:pPr>
      <w:r>
        <w:rPr>
          <w:rFonts w:ascii="Times New Roman"/>
          <w:color w:val="auto"/>
          <w:highlight w:val="none"/>
        </w:rPr>
        <w:t xml:space="preserve">主要专业技术能力有</w:t>
      </w:r>
      <w:r>
        <w:rPr>
          <w:rFonts w:ascii="Times New Roman"/>
          <w:color w:val="auto"/>
          <w:highlight w:val="none"/>
          <w:u w:val="single"/>
        </w:rPr>
        <w:t xml:space="preserve">                 </w:t>
      </w:r>
      <w:r/>
    </w:p>
    <w:p>
      <w:pPr>
        <w:pStyle w:val="977"/>
        <w:ind w:firstLine="480"/>
        <w:spacing w:line="460" w:lineRule="exact"/>
        <w:rPr>
          <w:rFonts w:ascii="Times New Roman"/>
          <w:color w:val="auto"/>
          <w:highlight w:val="none"/>
        </w:rPr>
      </w:pPr>
      <w:r>
        <w:rPr>
          <w:rFonts w:hint="eastAsia" w:ascii="Times New Roman"/>
          <w:color w:val="auto"/>
          <w:highlight w:val="none"/>
        </w:rPr>
        <w:t xml:space="preserve">五</w:t>
      </w:r>
      <w:r>
        <w:rPr>
          <w:rFonts w:ascii="Times New Roman"/>
          <w:color w:val="auto"/>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7"/>
        <w:ind w:firstLine="480"/>
        <w:spacing w:line="460" w:lineRule="exact"/>
        <w:rPr>
          <w:rFonts w:ascii="Times New Roman"/>
          <w:color w:val="auto"/>
          <w:highlight w:val="none"/>
        </w:rPr>
      </w:pPr>
      <w:r>
        <w:rPr>
          <w:rFonts w:hint="eastAsia" w:ascii="Times New Roman"/>
          <w:color w:val="auto"/>
          <w:highlight w:val="none"/>
        </w:rPr>
        <w:t xml:space="preserve">六</w:t>
      </w:r>
      <w:r>
        <w:rPr>
          <w:rFonts w:ascii="Times New Roman"/>
          <w:color w:val="auto"/>
          <w:highlight w:val="none"/>
        </w:rPr>
        <w:t xml:space="preserve">、我单位具备法律、行政法规规定的其他条件。</w:t>
      </w:r>
      <w:r/>
    </w:p>
    <w:p>
      <w:pPr>
        <w:pStyle w:val="977"/>
        <w:ind w:firstLine="480"/>
        <w:spacing w:line="460" w:lineRule="exact"/>
        <w:rPr>
          <w:rFonts w:ascii="Times New Roman"/>
          <w:color w:val="auto"/>
          <w:highlight w:val="none"/>
        </w:rPr>
      </w:pPr>
      <w:r>
        <w:rPr>
          <w:rFonts w:hint="eastAsia" w:ascii="Times New Roman"/>
          <w:color w:val="auto"/>
          <w:highlight w:val="none"/>
        </w:rPr>
        <w:t xml:space="preserve">七</w:t>
      </w:r>
      <w:r>
        <w:rPr>
          <w:rFonts w:ascii="Times New Roman"/>
          <w:color w:val="auto"/>
          <w:highlight w:val="none"/>
        </w:rPr>
        <w:t xml:space="preserve">、与我单位存在“单位负责人为同一人或者存在直接控股、管理关系”的其他单位信息如下（如无此情形的，填写“无”）：</w:t>
      </w:r>
      <w:r/>
    </w:p>
    <w:p>
      <w:pPr>
        <w:pStyle w:val="977"/>
        <w:ind w:firstLine="480"/>
        <w:spacing w:line="460" w:lineRule="exact"/>
        <w:rPr>
          <w:rFonts w:ascii="Times New Roman"/>
          <w:color w:val="auto"/>
          <w:highlight w:val="none"/>
        </w:rPr>
      </w:pPr>
      <w:r>
        <w:rPr>
          <w:rFonts w:ascii="Times New Roman"/>
          <w:color w:val="auto"/>
          <w:highlight w:val="none"/>
        </w:rPr>
        <w:t xml:space="preserve">1、与我单位的法定代表人（单位负责人）为同一人的其他单位如下：</w:t>
      </w:r>
      <w:r>
        <w:rPr>
          <w:rFonts w:ascii="Times New Roman"/>
          <w:color w:val="auto"/>
          <w:highlight w:val="none"/>
          <w:u w:val="single"/>
        </w:rPr>
        <w:t xml:space="preserve">     </w:t>
      </w:r>
      <w:r>
        <w:rPr>
          <w:rFonts w:ascii="Times New Roman"/>
          <w:color w:val="auto"/>
          <w:highlight w:val="none"/>
        </w:rPr>
        <w:t xml:space="preserve">          </w:t>
      </w:r>
      <w:r/>
    </w:p>
    <w:p>
      <w:pPr>
        <w:pStyle w:val="977"/>
        <w:ind w:firstLine="480"/>
        <w:spacing w:line="460" w:lineRule="exact"/>
        <w:rPr>
          <w:rFonts w:ascii="Times New Roman"/>
          <w:color w:val="auto"/>
          <w:highlight w:val="none"/>
        </w:rPr>
      </w:pPr>
      <w:r>
        <w:rPr>
          <w:rFonts w:ascii="Times New Roman"/>
          <w:color w:val="auto"/>
          <w:highlight w:val="none"/>
        </w:rPr>
        <w:t xml:space="preserve">2、我单位直接控股的其他单位如下：</w:t>
      </w:r>
      <w:r>
        <w:rPr>
          <w:rFonts w:ascii="Times New Roman"/>
          <w:color w:val="auto"/>
          <w:highlight w:val="none"/>
          <w:u w:val="single"/>
        </w:rPr>
        <w:t xml:space="preserve">                    </w:t>
      </w:r>
      <w:r>
        <w:rPr>
          <w:rFonts w:ascii="Times New Roman"/>
          <w:color w:val="auto"/>
          <w:highlight w:val="none"/>
        </w:rPr>
        <w:t xml:space="preserve"> </w:t>
      </w:r>
      <w:r/>
    </w:p>
    <w:p>
      <w:pPr>
        <w:pStyle w:val="977"/>
        <w:ind w:firstLine="480"/>
        <w:spacing w:line="460" w:lineRule="exact"/>
        <w:rPr>
          <w:rFonts w:ascii="Times New Roman"/>
          <w:color w:val="auto"/>
          <w:highlight w:val="none"/>
        </w:rPr>
      </w:pPr>
      <w:r>
        <w:rPr>
          <w:rFonts w:ascii="Times New Roman"/>
          <w:color w:val="auto"/>
          <w:highlight w:val="none"/>
        </w:rPr>
        <w:t xml:space="preserve">3、与我单位存在管理关系的其他单位如下：</w:t>
      </w:r>
      <w:r>
        <w:rPr>
          <w:rFonts w:ascii="Times New Roman"/>
          <w:color w:val="auto"/>
          <w:highlight w:val="none"/>
          <w:u w:val="single"/>
        </w:rPr>
        <w:t xml:space="preserve">              </w:t>
      </w:r>
      <w:r>
        <w:rPr>
          <w:rFonts w:ascii="Times New Roman"/>
          <w:color w:val="auto"/>
          <w:highlight w:val="none"/>
        </w:rPr>
        <w:t xml:space="preserve"> </w:t>
      </w:r>
      <w:r/>
    </w:p>
    <w:p>
      <w:pPr>
        <w:pStyle w:val="977"/>
        <w:ind w:firstLine="480"/>
        <w:spacing w:line="460" w:lineRule="exact"/>
        <w:rPr>
          <w:rFonts w:ascii="Times New Roman"/>
          <w:color w:val="auto"/>
          <w:highlight w:val="none"/>
        </w:rPr>
      </w:pPr>
      <w:r>
        <w:rPr>
          <w:rFonts w:hint="eastAsia" w:ascii="Times New Roman"/>
          <w:color w:val="auto"/>
          <w:highlight w:val="none"/>
        </w:rPr>
        <w:t xml:space="preserve">八</w:t>
      </w:r>
      <w:r>
        <w:rPr>
          <w:rFonts w:ascii="Times New Roman"/>
          <w:color w:val="auto"/>
          <w:highlight w:val="none"/>
        </w:rPr>
        <w:t xml:space="preserve">、我单位不属于为本项目提供整体设计、规范编制或者项目管理、监理、检测等服务的供应商。</w:t>
      </w:r>
      <w:r/>
    </w:p>
    <w:p>
      <w:pPr>
        <w:pStyle w:val="977"/>
        <w:ind w:firstLine="480"/>
        <w:spacing w:line="460" w:lineRule="exact"/>
        <w:rPr>
          <w:rFonts w:ascii="Times New Roman"/>
          <w:color w:val="auto"/>
          <w:highlight w:val="none"/>
        </w:rPr>
      </w:pPr>
      <w:r>
        <w:rPr>
          <w:rFonts w:hint="eastAsia" w:ascii="Times New Roman"/>
          <w:color w:val="auto"/>
          <w:highlight w:val="none"/>
        </w:rPr>
        <w:t xml:space="preserve">九</w:t>
      </w:r>
      <w:r>
        <w:rPr>
          <w:rFonts w:ascii="Times New Roman"/>
          <w:color w:val="auto"/>
          <w:highlight w:val="none"/>
        </w:rPr>
        <w:t xml:space="preserve">、我单位无以下不良信用记录情形：</w:t>
      </w:r>
      <w:r/>
    </w:p>
    <w:p>
      <w:pPr>
        <w:pStyle w:val="977"/>
        <w:ind w:firstLine="480"/>
        <w:spacing w:line="460" w:lineRule="exact"/>
        <w:rPr>
          <w:rFonts w:ascii="Times New Roman"/>
          <w:color w:val="auto"/>
          <w:highlight w:val="none"/>
        </w:rPr>
      </w:pPr>
      <w:r>
        <w:rPr>
          <w:rFonts w:ascii="Times New Roman"/>
          <w:color w:val="auto"/>
          <w:highlight w:val="none"/>
        </w:rPr>
        <w:t xml:space="preserve">1、在“信用中国”网站被列入失信被执行人和重大税收违法案件当事人名单；</w:t>
      </w:r>
      <w:r/>
    </w:p>
    <w:p>
      <w:pPr>
        <w:pStyle w:val="977"/>
        <w:ind w:firstLine="480"/>
        <w:spacing w:line="460" w:lineRule="exact"/>
        <w:rPr>
          <w:rFonts w:ascii="Times New Roman"/>
          <w:color w:val="auto"/>
          <w:highlight w:val="none"/>
        </w:rPr>
      </w:pPr>
      <w:r>
        <w:rPr>
          <w:rFonts w:ascii="Times New Roman"/>
          <w:color w:val="auto"/>
          <w:highlight w:val="none"/>
        </w:rPr>
        <w:t xml:space="preserve">2、在“中国政府采购网”网站被列入政府采购严重违法失信行为记录名单；</w:t>
      </w:r>
      <w:r/>
    </w:p>
    <w:p>
      <w:pPr>
        <w:pStyle w:val="977"/>
        <w:ind w:firstLine="480"/>
        <w:spacing w:line="460" w:lineRule="exact"/>
        <w:rPr>
          <w:rFonts w:ascii="Times New Roman"/>
          <w:color w:val="auto"/>
          <w:highlight w:val="none"/>
        </w:rPr>
      </w:pPr>
      <w:r>
        <w:rPr>
          <w:rFonts w:ascii="Times New Roman"/>
          <w:color w:val="auto"/>
          <w:highlight w:val="none"/>
        </w:rPr>
        <w:t xml:space="preserve">3、不符合《政府采购法》第二十二条规定的条件。</w:t>
      </w:r>
      <w:r/>
    </w:p>
    <w:p>
      <w:pPr>
        <w:pStyle w:val="977"/>
        <w:ind w:firstLine="480"/>
        <w:spacing w:line="460" w:lineRule="exact"/>
        <w:rPr>
          <w:rFonts w:ascii="Times New Roman"/>
          <w:color w:val="auto"/>
          <w:highlight w:val="none"/>
        </w:rPr>
      </w:pPr>
      <w:r>
        <w:rPr>
          <w:rFonts w:ascii="Times New Roman"/>
          <w:color w:val="auto"/>
          <w:highlight w:val="none"/>
        </w:rPr>
      </w:r>
      <w:r/>
    </w:p>
    <w:p>
      <w:pPr>
        <w:pStyle w:val="977"/>
        <w:ind w:firstLine="480"/>
        <w:spacing w:line="460" w:lineRule="exact"/>
        <w:rPr>
          <w:rFonts w:ascii="Times New Roman"/>
          <w:color w:val="auto"/>
          <w:highlight w:val="none"/>
        </w:rPr>
      </w:pPr>
      <w:r>
        <w:rPr>
          <w:rFonts w:ascii="Times New Roman"/>
          <w:color w:val="auto"/>
          <w:highlight w:val="none"/>
        </w:rPr>
        <w:t xml:space="preserve">我单位保证上述声明的事项都是真实的，如有虚假，我单位愿意承担相应的法律责任，并承担因此所造成的一切损失。</w:t>
      </w:r>
      <w:r/>
    </w:p>
    <w:p>
      <w:pPr>
        <w:pStyle w:val="977"/>
        <w:ind w:firstLine="480"/>
        <w:spacing w:line="460" w:lineRule="exact"/>
        <w:rPr>
          <w:rFonts w:ascii="Times New Roman"/>
          <w:color w:val="auto"/>
          <w:highlight w:val="none"/>
        </w:rPr>
      </w:pPr>
      <w:r>
        <w:rPr>
          <w:rFonts w:ascii="Times New Roman"/>
          <w:color w:val="auto"/>
          <w:highlight w:val="none"/>
        </w:rPr>
      </w:r>
      <w:r/>
    </w:p>
    <w:p>
      <w:pPr>
        <w:pStyle w:val="977"/>
        <w:ind w:firstLine="480"/>
        <w:spacing w:line="460" w:lineRule="exact"/>
        <w:rPr>
          <w:rFonts w:ascii="Times New Roman"/>
          <w:color w:val="auto"/>
          <w:highlight w:val="none"/>
        </w:rPr>
      </w:pPr>
      <w:r>
        <w:rPr>
          <w:rFonts w:ascii="Times New Roman"/>
          <w:color w:val="auto"/>
          <w:highlight w:val="none"/>
        </w:rPr>
      </w:r>
      <w:r/>
    </w:p>
    <w:p>
      <w:pPr>
        <w:pStyle w:val="977"/>
        <w:ind w:firstLine="480"/>
        <w:spacing w:line="460" w:lineRule="exact"/>
        <w:rPr>
          <w:rFonts w:ascii="Times New Roman"/>
          <w:color w:val="auto"/>
          <w:highlight w:val="none"/>
        </w:rPr>
      </w:pPr>
      <w:r>
        <w:rPr>
          <w:rFonts w:ascii="Times New Roman"/>
          <w:color w:val="auto"/>
          <w:highlight w:val="none"/>
        </w:rPr>
        <w:t xml:space="preserve">                                            供应商：（加盖公章）</w:t>
      </w:r>
      <w:r/>
    </w:p>
    <w:p>
      <w:pPr>
        <w:pStyle w:val="977"/>
        <w:ind w:firstLine="480"/>
        <w:spacing w:line="460" w:lineRule="exact"/>
        <w:rPr>
          <w:rFonts w:ascii="Times New Roman"/>
          <w:color w:val="auto"/>
          <w:highlight w:val="none"/>
        </w:rPr>
      </w:pPr>
      <w:r>
        <w:rPr>
          <w:rFonts w:ascii="Times New Roman"/>
          <w:color w:val="auto"/>
          <w:highlight w:val="none"/>
        </w:rPr>
        <w:t xml:space="preserve">                                    法定代表人（或单位负责人）签字或盖章：</w:t>
      </w:r>
      <w:r/>
    </w:p>
    <w:p>
      <w:pPr>
        <w:pStyle w:val="977"/>
        <w:ind w:firstLine="4920"/>
        <w:spacing w:line="460" w:lineRule="exact"/>
        <w:rPr>
          <w:rFonts w:ascii="Times New Roman"/>
          <w:color w:val="auto"/>
          <w:highlight w:val="none"/>
        </w:rPr>
      </w:pPr>
      <w:r>
        <w:rPr>
          <w:rFonts w:ascii="Times New Roman"/>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color w:val="auto"/>
          <w:sz w:val="24"/>
          <w:highlight w:val="none"/>
        </w:rPr>
        <w:sectPr>
          <w:footnotePr/>
          <w:endnotePr/>
          <w:type w:val="nextPage"/>
          <w:pgSz w:w="11907" w:h="16840" w:orient="portrait"/>
          <w:pgMar w:top="1304" w:right="1304" w:bottom="1304" w:left="1304" w:header="851" w:footer="851"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中小企业声明函（如为中、小、微企业则需提供）</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（1）如本项目专门面向中小/小微企业采购，须提供《中小企业声明函》。</w:t>
      </w:r>
      <w:r/>
    </w:p>
    <w:p>
      <w:pPr>
        <w:spacing w:line="360" w:lineRule="auto"/>
        <w:tabs>
          <w:tab w:val="left" w:pos="5580" w:leader="none"/>
        </w:tabs>
        <w:rPr>
          <w:color w:val="auto"/>
          <w:sz w:val="24"/>
          <w:highlight w:val="none"/>
        </w:rPr>
      </w:pPr>
      <w:r>
        <w:rPr>
          <w:color w:val="auto"/>
          <w:sz w:val="24"/>
          <w:highlight w:val="none"/>
        </w:rPr>
        <w:t xml:space="preserve">（2）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before="240" w:after="240" w:line="360" w:lineRule="auto"/>
        <w:rPr>
          <w:b/>
          <w:bCs/>
          <w:color w:val="auto"/>
          <w:sz w:val="36"/>
          <w:szCs w:val="36"/>
          <w:highlight w:val="none"/>
        </w:rPr>
      </w:pPr>
      <w:r>
        <w:rPr>
          <w:b/>
          <w:bCs/>
          <w:color w:val="auto"/>
          <w:sz w:val="36"/>
          <w:szCs w:val="36"/>
          <w:highlight w:val="none"/>
        </w:rPr>
        <w:t xml:space="preserve">中小企业声明函（服务）格式</w:t>
      </w:r>
      <w:r/>
    </w:p>
    <w:p>
      <w:pPr>
        <w:ind w:firstLine="504"/>
        <w:spacing w:line="360" w:lineRule="auto"/>
        <w:rPr>
          <w:color w:val="auto"/>
          <w:spacing w:val="6"/>
          <w:sz w:val="24"/>
          <w:highlight w:val="none"/>
        </w:rPr>
      </w:pPr>
      <w:r>
        <w:rPr>
          <w:color w:val="auto"/>
          <w:spacing w:val="6"/>
          <w:sz w:val="24"/>
          <w:highlight w:val="none"/>
        </w:rPr>
        <w:t xml:space="preserve">本公司郑重声明，根据《政府采购促进中小企业发展管理办法》（财库﹝2020﹞46 号）的规定，本公司参加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采购活动，服务全部由符合政策要求的中小企业承接。相关企业的具体情况如下：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（磋商文件中明确的所属行业）</w:t>
      </w:r>
      <w:r>
        <w:rPr>
          <w:color w:val="auto"/>
          <w:spacing w:val="6"/>
          <w:sz w:val="24"/>
          <w:highlight w:val="none"/>
        </w:rPr>
        <w:t xml:space="preserve">行业；承接企业为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（磋商文件中明确的所属行业）</w:t>
      </w:r>
      <w:r>
        <w:rPr>
          <w:color w:val="auto"/>
          <w:spacing w:val="6"/>
          <w:sz w:val="24"/>
          <w:highlight w:val="none"/>
        </w:rPr>
        <w:t xml:space="preserve">行业；承接企业为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75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b/>
          <w:color w:val="auto"/>
          <w:sz w:val="36"/>
          <w:szCs w:val="36"/>
          <w:highlight w:val="none"/>
        </w:rPr>
        <w:t xml:space="preserve">残疾人福利性单位声明函格式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且本单位参加______单位的______项目采购活动由本单位提供服务。</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t xml:space="preserve">3 </w:t>
      </w:r>
      <w:r>
        <w:rPr>
          <w:color w:val="auto"/>
          <w:sz w:val="24"/>
          <w:highlight w:val="none"/>
        </w:rPr>
        <w:t xml:space="preserve">本项目的特定资格要求</w:t>
      </w:r>
      <w:r/>
    </w:p>
    <w:p>
      <w:pPr>
        <w:spacing w:line="360" w:lineRule="auto"/>
        <w:rPr>
          <w:color w:val="auto"/>
          <w:sz w:val="24"/>
          <w:szCs w:val="20"/>
          <w:highlight w:val="none"/>
        </w:rPr>
        <w:outlineLvl w:val="2"/>
      </w:pPr>
      <w:r>
        <w:rPr>
          <w:color w:val="auto"/>
          <w:sz w:val="24"/>
          <w:szCs w:val="20"/>
          <w:highlight w:val="none"/>
        </w:rPr>
        <w:t xml:space="preserve">3-1 其他特定资格要求</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highlight w:val="none"/>
        </w:rPr>
        <w:br w:type="page" w:clear="all"/>
      </w:r>
      <w:bookmarkStart w:id="672" w:name="_Toc226965830"/>
      <w:r/>
      <w:bookmarkStart w:id="673" w:name="_Toc305158825"/>
      <w:r/>
      <w:bookmarkStart w:id="674" w:name="_Toc150480795"/>
      <w:r/>
      <w:bookmarkStart w:id="675" w:name="_Toc305158899"/>
      <w:r/>
      <w:bookmarkStart w:id="676" w:name="_Toc520356218"/>
      <w:r/>
      <w:bookmarkStart w:id="677" w:name="_Ref467988705"/>
      <w:r/>
      <w:bookmarkStart w:id="678" w:name="_Toc226337253"/>
      <w:r/>
      <w:bookmarkStart w:id="679" w:name="_Toc142311059"/>
      <w:r/>
      <w:bookmarkStart w:id="680" w:name="_Toc127151557"/>
      <w:r/>
      <w:bookmarkStart w:id="681" w:name="_Toc226965747"/>
      <w:r/>
      <w:bookmarkStart w:id="682" w:name="_Toc226309801"/>
      <w:r/>
      <w:bookmarkStart w:id="683" w:name="_Toc264969247"/>
      <w:r/>
      <w:bookmarkStart w:id="684" w:name="_Toc265228395"/>
      <w:r/>
      <w:bookmarkStart w:id="685" w:name="_Toc195842922"/>
      <w:r/>
      <w:bookmarkStart w:id="686" w:name="_Toc150774762"/>
      <w:r/>
      <w:bookmarkStart w:id="687" w:name="_Toc480942350"/>
      <w:r>
        <w:rPr>
          <w:color w:val="auto"/>
          <w:sz w:val="24"/>
          <w:highlight w:val="none"/>
        </w:rPr>
        <w:t xml:space="preserve">3</w:t>
      </w:r>
      <w:r>
        <w:rPr>
          <w:color w:val="auto"/>
          <w:sz w:val="24"/>
          <w:szCs w:val="20"/>
          <w:highlight w:val="none"/>
        </w:rPr>
        <w:t xml:space="preserve">  </w:t>
      </w:r>
      <w:r>
        <w:rPr>
          <w:color w:val="auto"/>
          <w:sz w:val="24"/>
          <w:highlight w:val="none"/>
        </w:rPr>
        <w:t xml:space="preserve">响应函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我方参加你方就___________（项目名称，项目编号）组织的政府采购活动，并对此项目进行响应。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88" w:name="_Hlt520355938"/>
      <w:r/>
      <w:bookmarkEnd w:id="688"/>
      <w:r/>
      <w:bookmarkStart w:id="689" w:name="_Hlt520356243"/>
      <w:r/>
      <w:bookmarkEnd w:id="689"/>
      <w:r>
        <w:rPr>
          <w:color w:val="auto"/>
          <w:sz w:val="24"/>
          <w:highlight w:val="none"/>
        </w:rPr>
        <w:br w:type="page" w:clear="all"/>
      </w:r>
      <w:r/>
    </w:p>
    <w:p>
      <w:pPr>
        <w:jc w:val="left"/>
        <w:widowControl/>
        <w:rPr>
          <w:color w:val="auto"/>
          <w:sz w:val="24"/>
          <w:highlight w:val="none"/>
        </w:rPr>
      </w:pPr>
      <w:r>
        <w:rPr>
          <w:color w:val="auto"/>
          <w:sz w:val="24"/>
          <w:highlight w:val="none"/>
        </w:rPr>
        <w:t xml:space="preserve">4  法定代表人资格证明书</w:t>
      </w:r>
      <w:r>
        <w:rPr>
          <w:color w:val="auto"/>
          <w:sz w:val="24"/>
          <w:szCs w:val="20"/>
          <w:highlight w:val="none"/>
        </w:rPr>
        <w:t xml:space="preserve">（实质性格式）</w:t>
      </w:r>
      <w:r/>
    </w:p>
    <w:p>
      <w:pPr>
        <w:jc w:val="center"/>
        <w:spacing w:line="360" w:lineRule="auto"/>
        <w:rPr>
          <w:b/>
          <w:color w:val="auto"/>
          <w:sz w:val="32"/>
          <w:szCs w:val="32"/>
          <w:highlight w:val="none"/>
        </w:rPr>
      </w:pPr>
      <w:r>
        <w:rPr>
          <w:b/>
          <w:color w:val="auto"/>
          <w:sz w:val="32"/>
          <w:szCs w:val="32"/>
          <w:highlight w:val="none"/>
        </w:rPr>
      </w:r>
      <w:r/>
    </w:p>
    <w:p>
      <w:pPr>
        <w:jc w:val="center"/>
        <w:spacing w:line="360" w:lineRule="auto"/>
        <w:rPr>
          <w:b/>
          <w:color w:val="auto"/>
          <w:sz w:val="32"/>
          <w:szCs w:val="32"/>
          <w:highlight w:val="none"/>
        </w:rPr>
      </w:pPr>
      <w:r>
        <w:rPr>
          <w:b/>
          <w:color w:val="auto"/>
          <w:sz w:val="32"/>
          <w:szCs w:val="32"/>
          <w:highlight w:val="none"/>
        </w:rPr>
        <w:t xml:space="preserve">法定代表人资格证明书</w:t>
      </w:r>
      <w:r/>
    </w:p>
    <w:p>
      <w:pPr>
        <w:spacing w:line="560" w:lineRule="exact"/>
        <w:rPr>
          <w:color w:val="auto"/>
          <w:sz w:val="24"/>
          <w:highlight w:val="none"/>
        </w:rPr>
      </w:pPr>
      <w:r>
        <w:rPr>
          <w:color w:val="auto"/>
          <w:sz w:val="24"/>
          <w:highlight w:val="none"/>
        </w:rPr>
        <w:t xml:space="preserve">单位名称:</w:t>
      </w:r>
      <w:r/>
    </w:p>
    <w:p>
      <w:pPr>
        <w:spacing w:line="560" w:lineRule="exact"/>
        <w:rPr>
          <w:color w:val="auto"/>
          <w:sz w:val="24"/>
          <w:highlight w:val="none"/>
        </w:rPr>
      </w:pPr>
      <w:r>
        <w:rPr>
          <w:color w:val="auto"/>
          <w:sz w:val="24"/>
          <w:highlight w:val="none"/>
        </w:rPr>
        <w:t xml:space="preserve">地址:</w:t>
      </w:r>
      <w:r/>
    </w:p>
    <w:p>
      <w:pPr>
        <w:spacing w:line="560" w:lineRule="exact"/>
        <w:rPr>
          <w:color w:val="auto"/>
          <w:sz w:val="24"/>
          <w:highlight w:val="none"/>
        </w:rPr>
      </w:pPr>
      <w:r>
        <w:rPr>
          <w:color w:val="auto"/>
          <w:sz w:val="24"/>
          <w:highlight w:val="none"/>
        </w:rPr>
        <w:t xml:space="preserve">姓名:     性别:       年龄:      职务:</w:t>
      </w:r>
      <w:r/>
    </w:p>
    <w:p>
      <w:pPr>
        <w:spacing w:line="560" w:lineRule="exact"/>
        <w:rPr>
          <w:color w:val="auto"/>
          <w:sz w:val="24"/>
          <w:highlight w:val="none"/>
        </w:rPr>
      </w:pPr>
      <w:r>
        <w:rPr>
          <w:color w:val="auto"/>
          <w:sz w:val="24"/>
          <w:highlight w:val="none"/>
        </w:rPr>
        <w:t xml:space="preserve">系</w:t>
      </w:r>
      <w:r>
        <w:rPr>
          <w:color w:val="auto"/>
          <w:sz w:val="24"/>
          <w:highlight w:val="none"/>
          <w:u w:val="single"/>
        </w:rPr>
        <w:t xml:space="preserve">（供应商名称）</w:t>
      </w:r>
      <w:r>
        <w:rPr>
          <w:color w:val="auto"/>
          <w:sz w:val="24"/>
          <w:highlight w:val="none"/>
        </w:rPr>
        <w:t xml:space="preserve">的法定代表人。为参与</w:t>
      </w:r>
      <w:r>
        <w:rPr>
          <w:color w:val="auto"/>
          <w:sz w:val="24"/>
          <w:highlight w:val="none"/>
          <w:u w:val="single"/>
        </w:rPr>
        <w:t xml:space="preserve">（项目名称）</w:t>
      </w:r>
      <w:r>
        <w:rPr>
          <w:color w:val="auto"/>
          <w:sz w:val="24"/>
          <w:highlight w:val="none"/>
        </w:rPr>
        <w:t xml:space="preserve">的政府采购活动，</w:t>
      </w:r>
      <w:r>
        <w:rPr>
          <w:color w:val="auto"/>
          <w:sz w:val="24"/>
          <w:szCs w:val="20"/>
          <w:highlight w:val="none"/>
        </w:rPr>
        <w:t xml:space="preserve">签署、澄清确认、递交、撤回、修改</w:t>
      </w:r>
      <w:r>
        <w:rPr>
          <w:color w:val="auto"/>
          <w:sz w:val="24"/>
          <w:highlight w:val="none"/>
        </w:rPr>
        <w:t xml:space="preserve">上述项目的响应文件、进行合同磋商、签署合同和处理与之有关的一切事务。</w:t>
      </w:r>
      <w:r/>
    </w:p>
    <w:p>
      <w:pPr>
        <w:spacing w:line="560" w:lineRule="exact"/>
        <w:rPr>
          <w:color w:val="auto"/>
          <w:sz w:val="24"/>
          <w:highlight w:val="none"/>
        </w:rPr>
      </w:pPr>
      <w:r>
        <w:rPr>
          <w:color w:val="auto"/>
          <w:sz w:val="24"/>
          <w:highlight w:val="none"/>
        </w:rPr>
        <w:t xml:space="preserve">特此证明。</w:t>
      </w:r>
      <w:r/>
    </w:p>
    <w:p>
      <w:pPr>
        <w:spacing w:line="560" w:lineRule="exact"/>
        <w:rPr>
          <w:color w:val="auto"/>
          <w:sz w:val="24"/>
          <w:highlight w:val="none"/>
        </w:rPr>
      </w:pPr>
      <w:r>
        <w:rPr>
          <w:color w:val="auto"/>
          <w:sz w:val="24"/>
          <w:highlight w:val="none"/>
        </w:rPr>
      </w:r>
      <w:r/>
    </w:p>
    <w:p>
      <w:pPr>
        <w:pStyle w:val="1004"/>
        <w:ind w:right="-46"/>
        <w:spacing w:line="583" w:lineRule="auto"/>
        <w:rPr>
          <w:rFonts w:ascii="Times New Roman" w:hAnsi="Times New Roman"/>
          <w:color w:val="auto"/>
          <w:spacing w:val="-3"/>
          <w:highlight w:val="none"/>
        </w:rPr>
      </w:pPr>
      <w:r>
        <w:rPr>
          <w:rFonts w:ascii="Times New Roman" w:hAnsi="Times New Roman"/>
          <w:color w:val="auto"/>
          <w:highlight w:val="none"/>
        </w:rPr>
        <w:t xml:space="preserve">附：</w:t>
      </w:r>
      <w:r>
        <w:rPr>
          <w:rFonts w:ascii="Times New Roman" w:hAnsi="Times New Roman"/>
          <w:color w:val="auto"/>
          <w:spacing w:val="-3"/>
          <w:highlight w:val="none"/>
        </w:rPr>
        <w:t xml:space="preserve">法</w:t>
      </w:r>
      <w:r>
        <w:rPr>
          <w:rFonts w:ascii="Times New Roman" w:hAnsi="Times New Roman"/>
          <w:color w:val="auto"/>
          <w:highlight w:val="none"/>
        </w:rPr>
        <w:t xml:space="preserve">定</w:t>
      </w:r>
      <w:r>
        <w:rPr>
          <w:rFonts w:ascii="Times New Roman" w:hAnsi="Times New Roman"/>
          <w:color w:val="auto"/>
          <w:spacing w:val="-3"/>
          <w:highlight w:val="none"/>
        </w:rPr>
        <w:t xml:space="preserve">代</w:t>
      </w:r>
      <w:r>
        <w:rPr>
          <w:rFonts w:ascii="Times New Roman" w:hAnsi="Times New Roman"/>
          <w:color w:val="auto"/>
          <w:highlight w:val="none"/>
        </w:rPr>
        <w:t xml:space="preserve">表</w:t>
      </w:r>
      <w:r>
        <w:rPr>
          <w:rFonts w:ascii="Times New Roman" w:hAnsi="Times New Roman"/>
          <w:color w:val="auto"/>
          <w:spacing w:val="-3"/>
          <w:highlight w:val="none"/>
        </w:rPr>
        <w:t xml:space="preserve">人有效期内的身份证正反面电子件。</w:t>
      </w:r>
      <w:r/>
    </w:p>
    <w:tbl>
      <w:tblPr>
        <w:tblStyle w:val="75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spacing w:line="560" w:lineRule="exact"/>
        <w:rPr>
          <w:color w:val="auto"/>
          <w:sz w:val="24"/>
          <w:highlight w:val="none"/>
        </w:rPr>
      </w:pPr>
      <w:r>
        <w:rPr>
          <w:color w:val="auto"/>
          <w:sz w:val="24"/>
          <w:highlight w:val="none"/>
        </w:rPr>
        <w:t xml:space="preserve">                     供应商：（加盖公章）</w:t>
      </w:r>
      <w:r/>
    </w:p>
    <w:p>
      <w:pPr>
        <w:spacing w:line="560" w:lineRule="exact"/>
        <w:rPr>
          <w:color w:val="auto"/>
          <w:sz w:val="24"/>
          <w:highlight w:val="none"/>
        </w:rPr>
      </w:pPr>
      <w:r>
        <w:rPr>
          <w:color w:val="auto"/>
          <w:sz w:val="24"/>
          <w:highlight w:val="none"/>
        </w:rPr>
        <w:t xml:space="preserve">                       法定代表人</w:t>
      </w:r>
      <w:r>
        <w:rPr>
          <w:color w:val="auto"/>
          <w:sz w:val="24"/>
          <w:szCs w:val="20"/>
          <w:highlight w:val="none"/>
        </w:rPr>
        <w:t xml:space="preserve">签字</w:t>
      </w:r>
      <w:r>
        <w:rPr>
          <w:rFonts w:hint="eastAsia"/>
          <w:color w:val="auto"/>
          <w:sz w:val="24"/>
          <w:szCs w:val="20"/>
          <w:highlight w:val="none"/>
        </w:rPr>
        <w:t xml:space="preserve">或</w:t>
      </w:r>
      <w:r>
        <w:rPr>
          <w:color w:val="auto"/>
          <w:sz w:val="24"/>
          <w:szCs w:val="20"/>
          <w:highlight w:val="none"/>
        </w:rPr>
        <w:t xml:space="preserve">签章或印鉴</w:t>
      </w:r>
      <w:r>
        <w:rPr>
          <w:color w:val="auto"/>
          <w:sz w:val="24"/>
          <w:highlight w:val="none"/>
        </w:rPr>
        <w:t xml:space="preserve">：</w:t>
      </w:r>
      <w:r/>
    </w:p>
    <w:p>
      <w:pPr>
        <w:ind w:firstLine="4320"/>
        <w:spacing w:line="560" w:lineRule="exact"/>
        <w:rPr>
          <w:color w:val="auto"/>
          <w:sz w:val="24"/>
          <w:highlight w:val="none"/>
        </w:rPr>
      </w:pPr>
      <w:r>
        <w:rPr>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pStyle w:val="825"/>
        <w:rPr>
          <w:rFonts w:hint="eastAsia"/>
          <w:color w:val="auto"/>
          <w:highlight w:val="none"/>
        </w:rPr>
      </w:pPr>
      <w:r>
        <w:rPr>
          <w:rFonts w:hint="eastAsia"/>
          <w:color w:val="auto"/>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widowControl/>
        <w:rPr>
          <w:color w:val="auto"/>
          <w:sz w:val="24"/>
          <w:highlight w:val="none"/>
        </w:rPr>
      </w:pPr>
      <w:r>
        <w:rPr>
          <w:color w:val="auto"/>
          <w:sz w:val="24"/>
          <w:szCs w:val="20"/>
          <w:highlight w:val="none"/>
        </w:rPr>
        <w:t xml:space="preserve">5</w:t>
      </w:r>
      <w:r>
        <w:rPr>
          <w:color w:val="auto"/>
          <w:sz w:val="24"/>
          <w:highlight w:val="none"/>
        </w:rPr>
        <w:t xml:space="preserve">  政府采购供应商信用承诺书</w:t>
      </w:r>
      <w:r>
        <w:rPr>
          <w:color w:val="auto"/>
          <w:sz w:val="24"/>
          <w:szCs w:val="20"/>
          <w:highlight w:val="none"/>
        </w:rPr>
        <w:t xml:space="preserve">（实质性格式）</w:t>
      </w:r>
      <w:r/>
    </w:p>
    <w:p>
      <w:pPr>
        <w:ind w:firstLine="321"/>
        <w:jc w:val="center"/>
        <w:spacing w:line="560" w:lineRule="exact"/>
        <w:rPr>
          <w:rFonts w:eastAsia="黑体"/>
          <w:b/>
          <w:color w:val="auto"/>
          <w:sz w:val="32"/>
          <w:szCs w:val="32"/>
          <w:highlight w:val="none"/>
        </w:rPr>
      </w:pPr>
      <w:r>
        <w:rPr>
          <w:rFonts w:eastAsia="黑体"/>
          <w:b/>
          <w:color w:val="auto"/>
          <w:sz w:val="32"/>
          <w:szCs w:val="32"/>
          <w:highlight w:val="none"/>
        </w:rPr>
      </w:r>
      <w:r/>
    </w:p>
    <w:p>
      <w:pPr>
        <w:ind w:firstLine="321"/>
        <w:jc w:val="center"/>
        <w:spacing w:line="560" w:lineRule="exact"/>
        <w:rPr>
          <w:rFonts w:eastAsia="黑体"/>
          <w:b/>
          <w:color w:val="auto"/>
          <w:sz w:val="32"/>
          <w:szCs w:val="32"/>
          <w:highlight w:val="none"/>
        </w:rPr>
      </w:pPr>
      <w:r>
        <w:rPr>
          <w:rFonts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color w:val="auto"/>
          <w:sz w:val="24"/>
          <w:highlight w:val="none"/>
        </w:rPr>
      </w:pPr>
      <w:r>
        <w:rPr>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color w:val="auto"/>
          <w:sz w:val="24"/>
          <w:highlight w:val="none"/>
        </w:rPr>
      </w:pPr>
      <w:r>
        <w:rPr>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color w:val="auto"/>
          <w:sz w:val="24"/>
          <w:highlight w:val="none"/>
        </w:rPr>
      </w:pPr>
      <w:r>
        <w:rPr>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color w:val="auto"/>
          <w:sz w:val="24"/>
          <w:highlight w:val="none"/>
        </w:rPr>
      </w:pPr>
      <w:r>
        <w:rPr>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color w:val="auto"/>
          <w:sz w:val="24"/>
          <w:highlight w:val="none"/>
        </w:rPr>
      </w:pPr>
      <w:r>
        <w:rPr>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color w:val="auto"/>
          <w:sz w:val="24"/>
          <w:highlight w:val="none"/>
        </w:rPr>
      </w:pPr>
      <w:r>
        <w:rPr>
          <w:color w:val="auto"/>
          <w:sz w:val="24"/>
          <w:highlight w:val="none"/>
        </w:rPr>
        <w:t xml:space="preserve">五、承诺本单位自觉接受行政管理部门、行业组织、社会公众、新闻舆论的监督。 </w:t>
      </w:r>
      <w:r/>
    </w:p>
    <w:p>
      <w:pPr>
        <w:ind w:firstLine="480"/>
        <w:spacing w:line="276" w:lineRule="auto"/>
        <w:rPr>
          <w:color w:val="auto"/>
          <w:sz w:val="24"/>
          <w:highlight w:val="none"/>
        </w:rPr>
      </w:pPr>
      <w:r>
        <w:rPr>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color w:val="auto"/>
          <w:sz w:val="24"/>
          <w:highlight w:val="none"/>
        </w:rPr>
      </w:pPr>
      <w:r>
        <w:rPr>
          <w:color w:val="auto"/>
          <w:sz w:val="24"/>
          <w:highlight w:val="none"/>
        </w:rPr>
        <w:t xml:space="preserve">七、承诺本单位在信用中国（江苏）网站中无违法违规、较重或严重失信记录。 </w:t>
      </w:r>
      <w:r/>
    </w:p>
    <w:p>
      <w:pPr>
        <w:ind w:firstLine="480"/>
        <w:spacing w:line="276" w:lineRule="auto"/>
        <w:rPr>
          <w:color w:val="auto"/>
          <w:sz w:val="24"/>
          <w:highlight w:val="none"/>
        </w:rPr>
      </w:pPr>
      <w:r>
        <w:rPr>
          <w:color w:val="auto"/>
          <w:sz w:val="24"/>
          <w:highlight w:val="none"/>
        </w:rPr>
        <w:t xml:space="preserve">八、承诺本单位提出政府采购质疑和投诉坚持依法依规、诚实信用原则。</w:t>
      </w:r>
      <w:r/>
    </w:p>
    <w:p>
      <w:pPr>
        <w:ind w:firstLine="480"/>
        <w:spacing w:line="276" w:lineRule="auto"/>
        <w:rPr>
          <w:color w:val="auto"/>
          <w:sz w:val="24"/>
          <w:highlight w:val="none"/>
        </w:rPr>
      </w:pPr>
      <w:r>
        <w:rPr>
          <w:color w:val="auto"/>
          <w:sz w:val="24"/>
          <w:highlight w:val="none"/>
        </w:rPr>
        <w:t xml:space="preserve">九、根据政府采购相关法律法规的规定需要作出的其他承诺。 </w:t>
      </w:r>
      <w:r/>
    </w:p>
    <w:p>
      <w:pPr>
        <w:ind w:firstLine="480"/>
        <w:spacing w:line="276" w:lineRule="auto"/>
        <w:rPr>
          <w:color w:val="auto"/>
          <w:sz w:val="24"/>
          <w:highlight w:val="none"/>
        </w:rPr>
      </w:pPr>
      <w:r>
        <w:rPr>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color w:val="auto"/>
          <w:sz w:val="24"/>
          <w:highlight w:val="none"/>
        </w:rPr>
      </w:pPr>
      <w:r>
        <w:rPr>
          <w:color w:val="auto"/>
          <w:sz w:val="24"/>
          <w:highlight w:val="none"/>
        </w:rPr>
        <w:t xml:space="preserve">十一、承诺本单位同意将以上承诺事项上网公示，违背承诺约定行为将作为失信信息，记录到常州市公共信用信息系统，并予以公开。</w:t>
      </w:r>
      <w:r/>
    </w:p>
    <w:p>
      <w:pPr>
        <w:pStyle w:val="1221"/>
        <w:ind w:right="1050" w:firstLine="2880"/>
        <w:jc w:val="both"/>
        <w:spacing w:line="276" w:lineRule="auto"/>
        <w:rPr>
          <w:rFonts w:ascii="Times New Roman" w:eastAsia="宋体"/>
          <w:color w:val="auto"/>
          <w:sz w:val="24"/>
          <w:szCs w:val="22"/>
          <w:highlight w:val="none"/>
        </w:rPr>
      </w:pPr>
      <w:r>
        <w:rPr>
          <w:rFonts w:ascii="Times New Roman" w:eastAsia="宋体"/>
          <w:color w:val="auto"/>
          <w:sz w:val="24"/>
          <w:szCs w:val="22"/>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6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auto"/>
          <w:sz w:val="36"/>
          <w:szCs w:val="36"/>
          <w:highlight w:val="none"/>
        </w:rPr>
      </w:pPr>
      <w:r/>
      <w:bookmarkStart w:id="690" w:name="_Toc226309802"/>
      <w:r/>
      <w:bookmarkStart w:id="691" w:name="_Toc226965831"/>
      <w:r/>
      <w:bookmarkStart w:id="692" w:name="_Toc305158826"/>
      <w:r/>
      <w:bookmarkStart w:id="693" w:name="_Toc264969248"/>
      <w:r/>
      <w:bookmarkStart w:id="694" w:name="_Toc226337254"/>
      <w:r/>
      <w:bookmarkStart w:id="695" w:name="_Toc164608827"/>
      <w:r/>
      <w:bookmarkStart w:id="696" w:name="_Toc164608672"/>
      <w:r/>
      <w:bookmarkStart w:id="697" w:name="_Toc305158900"/>
      <w:r/>
      <w:bookmarkStart w:id="698" w:name="_Toc226965748"/>
      <w:r/>
      <w:bookmarkStart w:id="699" w:name="_Toc265228396"/>
      <w:r/>
      <w:bookmarkStart w:id="700" w:name="_Toc195842923"/>
      <w:r>
        <w:rPr>
          <w:b/>
          <w:color w:val="auto"/>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7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13"/>
        <w:gridCol w:w="3242"/>
        <w:gridCol w:w="4527"/>
      </w:tblGrid>
      <w:tr>
        <w:trPr>
          <w:jc w:val="center"/>
          <w:trHeight w:val="1215"/>
        </w:trPr>
        <w:tc>
          <w:tcPr>
            <w:tcW w:w="723"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1785"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供应商名称</w:t>
            </w:r>
            <w:r/>
          </w:p>
        </w:tc>
        <w:tc>
          <w:tcPr>
            <w:tcW w:w="2492"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响应</w:t>
            </w:r>
            <w:r>
              <w:rPr>
                <w:b/>
                <w:color w:val="auto"/>
                <w:sz w:val="24"/>
                <w:highlight w:val="none"/>
              </w:rPr>
              <w:t xml:space="preserve">报价（万元）</w:t>
            </w:r>
            <w:r/>
          </w:p>
        </w:tc>
      </w:tr>
      <w:tr>
        <w:trPr>
          <w:jc w:val="center"/>
          <w:trHeight w:val="976"/>
        </w:trPr>
        <w:tc>
          <w:tcPr>
            <w:tcW w:w="723"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78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49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ind w:left="0" w:right="0" w:firstLine="0"/>
        <w:jc w:val="both"/>
        <w:spacing w:before="25" w:after="25" w:line="85" w:lineRule="atLeast"/>
        <w:rPr>
          <w:color w:val="auto"/>
          <w:highlight w:val="none"/>
        </w:rPr>
        <w:pBdr>
          <w:top w:val="none" w:color="000000" w:sz="0" w:space="0"/>
          <w:left w:val="none" w:color="000000" w:sz="0" w:space="0"/>
          <w:bottom w:val="none" w:color="000000" w:sz="0" w:space="0"/>
          <w:right w:val="none" w:color="000000" w:sz="0" w:space="0"/>
        </w:pBdr>
      </w:pPr>
      <w:r/>
      <w:bookmarkStart w:id="701" w:name="_Toc226965832"/>
      <w:r/>
      <w:bookmarkStart w:id="702" w:name="_Toc226309803"/>
      <w:r/>
      <w:bookmarkStart w:id="703" w:name="_Toc226337255"/>
      <w:r/>
      <w:bookmarkStart w:id="704" w:name="_Toc264969249"/>
      <w:r/>
      <w:bookmarkStart w:id="705" w:name="_Toc305158901"/>
      <w:r/>
      <w:bookmarkStart w:id="706" w:name="_Toc265228397"/>
      <w:r/>
      <w:bookmarkStart w:id="707" w:name="_Toc305158827"/>
      <w:r/>
      <w:bookmarkStart w:id="708" w:name="_Toc142311060"/>
      <w:r/>
      <w:bookmarkStart w:id="709" w:name="_Toc127151558"/>
      <w:r/>
      <w:bookmarkStart w:id="710" w:name="_Toc226965749"/>
      <w:r/>
      <w:bookmarkStart w:id="711" w:name="_Toc150480796"/>
      <w:r/>
      <w:bookmarkStart w:id="712" w:name="_Toc195842924"/>
      <w:r/>
      <w:bookmarkStart w:id="713" w:name="_Toc150774763"/>
      <w:r>
        <w:rPr>
          <w:color w:val="auto"/>
          <w:sz w:val="24"/>
          <w:szCs w:val="20"/>
          <w:highlight w:val="none"/>
        </w:rPr>
        <w:br w:type="page" w:clear="all"/>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Start w:id="714" w:name="_Toc305158904"/>
      <w:r/>
      <w:bookmarkStart w:id="715" w:name="_Toc226965752"/>
      <w:r/>
      <w:bookmarkStart w:id="716" w:name="_Toc226965835"/>
      <w:r/>
      <w:bookmarkStart w:id="717" w:name="_Toc226309806"/>
      <w:r/>
      <w:bookmarkStart w:id="718" w:name="_Toc226337258"/>
      <w:r/>
      <w:bookmarkStart w:id="719" w:name="_Toc150774765"/>
      <w:r/>
      <w:bookmarkStart w:id="720" w:name="_Toc142311062"/>
      <w:r/>
      <w:bookmarkStart w:id="721" w:name="_Toc264969252"/>
      <w:r/>
      <w:bookmarkStart w:id="722" w:name="_Toc150480798"/>
      <w:r/>
      <w:bookmarkStart w:id="723" w:name="_Toc127151562"/>
      <w:r/>
      <w:bookmarkStart w:id="724" w:name="_Toc265228400"/>
      <w:r/>
      <w:bookmarkStart w:id="725" w:name="_Toc195842927"/>
      <w:r/>
      <w:bookmarkStart w:id="726" w:name="_Toc305158830"/>
      <w:r/>
      <w:bookmarkStart w:id="727" w:name="_Toc265228399"/>
      <w:r/>
      <w:bookmarkStart w:id="728" w:name="_Toc226965834"/>
      <w:r/>
      <w:bookmarkStart w:id="729" w:name="_Toc305158903"/>
      <w:r/>
      <w:bookmarkStart w:id="730" w:name="_Toc150480797"/>
      <w:r/>
      <w:bookmarkStart w:id="731" w:name="_Toc195842926"/>
      <w:r/>
      <w:bookmarkStart w:id="732" w:name="_Toc142311061"/>
      <w:r/>
      <w:bookmarkStart w:id="733" w:name="_Toc226965751"/>
      <w:r/>
      <w:bookmarkStart w:id="734" w:name="_Toc150774764"/>
      <w:r/>
      <w:bookmarkStart w:id="735" w:name="_Toc305158829"/>
      <w:r/>
      <w:bookmarkStart w:id="736" w:name="_Toc226337257"/>
      <w:r/>
      <w:bookmarkStart w:id="737" w:name="_Toc127151561"/>
      <w:r/>
      <w:bookmarkStart w:id="738" w:name="_Toc264969251"/>
      <w:r/>
      <w:bookmarkStart w:id="739" w:name="_Toc226309805"/>
      <w:r/>
      <w:r/>
    </w:p>
    <w:p>
      <w:pPr>
        <w:spacing w:line="360" w:lineRule="auto"/>
        <w:rPr>
          <w:rFonts w:hint="eastAsia"/>
          <w:color w:val="auto"/>
          <w:szCs w:val="20"/>
          <w:highlight w:val="none"/>
          <w:lang w:val="en-US" w:eastAsia="zh-CN"/>
        </w:rPr>
        <w:outlineLvl w:val="2"/>
      </w:pPr>
      <w:r>
        <w:rPr>
          <w:rFonts w:hint="eastAsia"/>
          <w:color w:val="auto"/>
          <w:szCs w:val="20"/>
          <w:highlight w:val="none"/>
          <w:lang w:val="en-US" w:eastAsia="zh-CN"/>
        </w:rPr>
        <w:t xml:space="preserve">7  分项报价表</w:t>
      </w:r>
      <w:r/>
    </w:p>
    <w:p>
      <w:pPr>
        <w:pStyle w:val="750"/>
        <w:jc w:val="center"/>
        <w:rPr>
          <w:rFonts w:hint="default"/>
          <w:color w:val="auto"/>
          <w:highlight w:val="none"/>
          <w:lang w:val="en-US"/>
        </w:rPr>
      </w:pPr>
      <w:r>
        <w:rPr>
          <w:rFonts w:hint="eastAsia"/>
          <w:b/>
          <w:color w:val="auto"/>
          <w:sz w:val="36"/>
          <w:szCs w:val="36"/>
          <w:highlight w:val="none"/>
        </w:rPr>
        <w:t xml:space="preserve">分项报价表（格式自拟）</w:t>
      </w:r>
      <w:r/>
    </w:p>
    <w:p>
      <w:pPr>
        <w:ind w:firstLine="480"/>
        <w:jc w:val="both"/>
        <w:keepLines w:val="0"/>
        <w:keepNext w:val="0"/>
        <w:pageBreakBefore w:val="0"/>
        <w:spacing w:line="360" w:lineRule="auto"/>
        <w:widowControl w:val="off"/>
        <w:tabs>
          <w:tab w:val="left" w:pos="1800" w:leader="none"/>
          <w:tab w:val="left" w:pos="5580"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注：1.本表应按包分别填写。</w:t>
      </w:r>
      <w:r/>
    </w:p>
    <w:p>
      <w:pPr>
        <w:ind w:firstLine="480"/>
        <w:jc w:val="both"/>
        <w:keepLines w:val="0"/>
        <w:keepNext w:val="0"/>
        <w:pageBreakBefore w:val="0"/>
        <w:spacing w:line="360" w:lineRule="auto"/>
        <w:widowControl w:val="off"/>
        <w:tabs>
          <w:tab w:val="left" w:pos="1800" w:leader="none"/>
          <w:tab w:val="left" w:pos="5580" w:leader="none"/>
        </w:tabs>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2.如果不提供分项报价将视为没有实质性响应磋商文件</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分项报价表，供应商应根据采购需求中采购人要求的内容进行分别报价</w:t>
      </w:r>
      <w:r>
        <w:rPr>
          <w:rFonts w:hint="eastAsia" w:ascii="Times New Roman" w:hAnsi="Times New Roman" w:eastAsia="宋体" w:cs="Times New Roman"/>
          <w:color w:val="auto"/>
          <w:sz w:val="24"/>
          <w:highlight w:val="none"/>
          <w:lang w:eastAsia="zh-CN"/>
        </w:rPr>
        <w:t xml:space="preserve">）。</w:t>
      </w:r>
      <w:r/>
    </w:p>
    <w:p>
      <w:pPr>
        <w:ind w:firstLine="482"/>
        <w:jc w:val="both"/>
        <w:keepLines w:val="0"/>
        <w:keepNext w:val="0"/>
        <w:pageBreakBefore w:val="0"/>
        <w:spacing w:line="360" w:lineRule="auto"/>
        <w:widowControl w:val="off"/>
        <w:tabs>
          <w:tab w:val="left" w:pos="1800" w:leader="none"/>
          <w:tab w:val="left" w:pos="5580" w:leader="none"/>
        </w:tabs>
        <w:rPr>
          <w:rFonts w:hint="default"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3.</w:t>
      </w:r>
      <w:r>
        <w:rPr>
          <w:rFonts w:hint="eastAsia" w:ascii="Times New Roman" w:hAnsi="Times New Roman" w:eastAsia="宋体" w:cs="Times New Roman"/>
          <w:b/>
          <w:bCs/>
          <w:color w:val="auto"/>
          <w:sz w:val="24"/>
          <w:highlight w:val="none"/>
        </w:rPr>
        <w:t xml:space="preserve">分项报价表中内容不符合采购文件要求，按</w:t>
      </w:r>
      <w:r>
        <w:rPr>
          <w:rFonts w:hint="eastAsia" w:cs="Times New Roman"/>
          <w:b/>
          <w:bCs/>
          <w:color w:val="auto"/>
          <w:sz w:val="24"/>
          <w:highlight w:val="none"/>
          <w:lang w:eastAsia="zh-CN"/>
        </w:rPr>
        <w:t xml:space="preserve">无效响应文件</w:t>
      </w:r>
      <w:r>
        <w:rPr>
          <w:rFonts w:hint="eastAsia" w:ascii="Times New Roman" w:hAnsi="Times New Roman" w:eastAsia="宋体" w:cs="Times New Roman"/>
          <w:b/>
          <w:bCs/>
          <w:color w:val="auto"/>
          <w:sz w:val="24"/>
          <w:highlight w:val="none"/>
        </w:rPr>
        <w:t xml:space="preserve">处理</w:t>
      </w:r>
      <w:r/>
    </w:p>
    <w:p>
      <w:pPr>
        <w:spacing w:before="25" w:after="25" w:line="360"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：____________</w:t>
      </w:r>
      <w:r/>
    </w:p>
    <w:p>
      <w:pPr>
        <w:spacing w:line="360" w:lineRule="auto"/>
        <w:rPr>
          <w:rFonts w:hint="eastAsia"/>
          <w:color w:val="auto"/>
          <w:szCs w:val="20"/>
          <w:highlight w:val="none"/>
          <w:lang w:val="en-US" w:eastAsia="zh-CN"/>
        </w:rPr>
        <w:outlineLvl w:val="2"/>
      </w:pPr>
      <w:r>
        <w:rPr>
          <w:rFonts w:hint="default" w:ascii="Times New Roman" w:hAnsi="Times New Roman" w:eastAsia="宋体" w:cs="Times New Roman"/>
          <w:color w:val="auto"/>
          <w:sz w:val="24"/>
          <w:szCs w:val="20"/>
          <w:highlight w:val="none"/>
        </w:rPr>
        <w:t xml:space="preserve">日期：_____年______月______日</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rFonts w:hint="eastAsia"/>
          <w:color w:val="auto"/>
          <w:sz w:val="24"/>
          <w:szCs w:val="20"/>
          <w:highlight w:val="none"/>
          <w:lang w:val="en-US" w:eastAsia="zh-CN"/>
        </w:rPr>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color w:val="auto"/>
          <w:sz w:val="24"/>
          <w:szCs w:val="20"/>
          <w:highlight w:val="none"/>
          <w:lang w:val="en-US" w:eastAsia="zh-CN"/>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8  </w:t>
      </w:r>
      <w:r>
        <w:rPr>
          <w:color w:val="auto"/>
          <w:sz w:val="24"/>
          <w:szCs w:val="20"/>
          <w:highlight w:val="none"/>
        </w:rPr>
        <w:t xml:space="preserve">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     项目名称：_____________________</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auto"/>
                <w:sz w:val="24"/>
                <w:highlight w:val="none"/>
              </w:rPr>
            </w:pPr>
            <w:r>
              <w:rPr>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9</w:t>
      </w:r>
      <w:r>
        <w:rPr>
          <w:color w:val="auto"/>
          <w:sz w:val="24"/>
          <w:szCs w:val="20"/>
          <w:highlight w:val="none"/>
        </w:rPr>
        <w:t xml:space="preserve">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auto"/>
          <w:sz w:val="24"/>
          <w:szCs w:val="20"/>
          <w:highlight w:val="none"/>
        </w:rPr>
        <w:t xml:space="preserve">采购需求偏离表（实质性格式）</w:t>
      </w:r>
      <w:r/>
    </w:p>
    <w:p>
      <w:pPr>
        <w:jc w:val="center"/>
        <w:rPr>
          <w:b/>
          <w:color w:val="auto"/>
          <w:sz w:val="36"/>
          <w:szCs w:val="36"/>
          <w:highlight w:val="none"/>
        </w:rPr>
      </w:pPr>
      <w:r>
        <w:rPr>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75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highlight w:val="none"/>
              </w:rPr>
            </w:pPr>
            <w:r>
              <w:rPr>
                <w:b/>
                <w:color w:val="auto"/>
                <w:sz w:val="24"/>
                <w:highlight w:val="none"/>
              </w:rPr>
              <w:t xml:space="preserve">对本项目采购需求的偏离情况（请进行勾选）：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numPr>
          <w:ilvl w:val="0"/>
          <w:numId w:val="16"/>
        </w:numPr>
        <w:jc w:val="left"/>
        <w:tabs>
          <w:tab w:val="left" w:pos="1800" w:leader="none"/>
          <w:tab w:val="left" w:pos="5580" w:leader="none"/>
        </w:tabs>
        <w:rPr>
          <w:color w:val="auto"/>
          <w:sz w:val="24"/>
          <w:highlight w:val="none"/>
        </w:rPr>
      </w:pPr>
      <w:r>
        <w:rPr>
          <w:color w:val="auto"/>
          <w:sz w:val="24"/>
          <w:highlight w:val="none"/>
        </w:rPr>
        <w:t xml:space="preserve">对磋商文件中的所有商务、技术要求，除本表所列明的所有偏离外，均视作供应商已对之理解和响应。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lang w:val="en-US" w:eastAsia="zh-CN"/>
        </w:rPr>
        <w:t xml:space="preserve">10</w:t>
      </w:r>
      <w:r>
        <w:rPr>
          <w:color w:val="auto"/>
          <w:sz w:val="24"/>
          <w:szCs w:val="20"/>
          <w:highlight w:val="none"/>
        </w:rPr>
        <w:t xml:space="preserve">  参加本项目人员一览表</w:t>
      </w:r>
      <w:r/>
    </w:p>
    <w:p>
      <w:pPr>
        <w:jc w:val="center"/>
        <w:spacing w:line="360" w:lineRule="auto"/>
        <w:rPr>
          <w:b/>
          <w:color w:val="auto"/>
          <w:sz w:val="32"/>
          <w:szCs w:val="32"/>
          <w:highlight w:val="none"/>
        </w:rPr>
      </w:pPr>
      <w:r>
        <w:rPr>
          <w:b/>
          <w:color w:val="auto"/>
          <w:sz w:val="32"/>
          <w:szCs w:val="32"/>
          <w:highlight w:val="none"/>
        </w:rPr>
      </w:r>
      <w:r/>
    </w:p>
    <w:p>
      <w:pPr>
        <w:jc w:val="center"/>
        <w:spacing w:line="360" w:lineRule="auto"/>
        <w:rPr>
          <w:b/>
          <w:color w:val="auto"/>
          <w:sz w:val="32"/>
          <w:szCs w:val="32"/>
          <w:highlight w:val="none"/>
        </w:rPr>
      </w:pPr>
      <w:r>
        <w:rPr>
          <w:b/>
          <w:color w:val="auto"/>
          <w:sz w:val="32"/>
          <w:szCs w:val="32"/>
          <w:highlight w:val="none"/>
        </w:rPr>
        <w:t xml:space="preserve">参加本项目人员一览表</w:t>
      </w:r>
      <w:r/>
    </w:p>
    <w:p>
      <w:pPr>
        <w:spacing w:line="360" w:lineRule="auto"/>
        <w:rPr>
          <w:color w:val="auto"/>
          <w:sz w:val="22"/>
          <w:highlight w:val="none"/>
        </w:rPr>
      </w:pPr>
      <w:r>
        <w:rPr>
          <w:color w:val="auto"/>
          <w:sz w:val="22"/>
          <w:highlight w:val="none"/>
        </w:rPr>
      </w:r>
      <w:r/>
    </w:p>
    <w:p>
      <w:pPr>
        <w:spacing w:line="360" w:lineRule="auto"/>
        <w:rPr>
          <w:color w:val="auto"/>
          <w:sz w:val="24"/>
          <w:highlight w:val="none"/>
        </w:rPr>
      </w:pPr>
      <w:r>
        <w:rPr>
          <w:color w:val="auto"/>
          <w:sz w:val="24"/>
          <w:highlight w:val="none"/>
        </w:rPr>
        <w:t xml:space="preserve">项目编号：</w:t>
      </w:r>
      <w:r>
        <w:rPr>
          <w:color w:val="auto"/>
          <w:sz w:val="24"/>
          <w:highlight w:val="none"/>
          <w:u w:val="single"/>
        </w:rPr>
        <w:t xml:space="preserve">                     </w:t>
      </w:r>
      <w:r/>
    </w:p>
    <w:tbl>
      <w:tblPr>
        <w:tblStyle w:val="759"/>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责任</w:t>
            </w:r>
            <w:r/>
          </w:p>
          <w:p>
            <w:pPr>
              <w:jc w:val="center"/>
              <w:spacing w:line="360" w:lineRule="auto"/>
              <w:tabs>
                <w:tab w:val="left" w:pos="9765" w:leader="none"/>
              </w:tabs>
              <w:rPr>
                <w:color w:val="auto"/>
                <w:sz w:val="24"/>
                <w:highlight w:val="none"/>
              </w:rPr>
            </w:pPr>
            <w:r>
              <w:rPr>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项目经历或主要工作</w:t>
            </w:r>
            <w:r/>
          </w:p>
          <w:p>
            <w:pPr>
              <w:jc w:val="center"/>
              <w:spacing w:line="360" w:lineRule="auto"/>
              <w:tabs>
                <w:tab w:val="left" w:pos="9765" w:leader="none"/>
              </w:tabs>
              <w:rPr>
                <w:color w:val="auto"/>
                <w:sz w:val="24"/>
                <w:highlight w:val="none"/>
              </w:rPr>
            </w:pPr>
            <w:r>
              <w:rPr>
                <w:color w:val="auto"/>
                <w:sz w:val="24"/>
                <w:highlight w:val="none"/>
              </w:rPr>
              <w:t xml:space="preserve">业绩</w:t>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bl>
    <w:p>
      <w:pPr>
        <w:spacing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740" w:name="_Toc288738839"/>
      <w:r/>
      <w:bookmarkStart w:id="741" w:name="_Toc288738397"/>
      <w:r>
        <w:rPr>
          <w:rFonts w:hint="eastAsia"/>
          <w:color w:val="auto"/>
          <w:sz w:val="24"/>
          <w:szCs w:val="20"/>
          <w:highlight w:val="none"/>
          <w:lang w:val="en-US" w:eastAsia="zh-CN"/>
        </w:rPr>
        <w:t xml:space="preserve">11</w:t>
      </w:r>
      <w:r>
        <w:rPr>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b/>
          <w:color w:val="auto"/>
          <w:sz w:val="32"/>
          <w:szCs w:val="32"/>
          <w:highlight w:val="none"/>
        </w:rPr>
      </w:pPr>
      <w:r>
        <w:rPr>
          <w:b/>
          <w:color w:val="auto"/>
          <w:sz w:val="32"/>
          <w:szCs w:val="32"/>
          <w:highlight w:val="none"/>
        </w:rPr>
        <w:t xml:space="preserve">相关业绩案例一览表</w:t>
      </w:r>
      <w:bookmarkEnd w:id="740"/>
      <w:r/>
      <w:bookmarkEnd w:id="741"/>
      <w:r/>
      <w:r/>
    </w:p>
    <w:p>
      <w:pPr>
        <w:jc w:val="center"/>
        <w:spacing w:line="360" w:lineRule="auto"/>
        <w:rPr>
          <w:b/>
          <w:color w:val="auto"/>
          <w:sz w:val="28"/>
          <w:szCs w:val="30"/>
          <w:highlight w:val="none"/>
        </w:rPr>
      </w:pPr>
      <w:r>
        <w:rPr>
          <w:b/>
          <w:color w:val="auto"/>
          <w:sz w:val="28"/>
          <w:szCs w:val="30"/>
          <w:highlight w:val="none"/>
        </w:rPr>
      </w:r>
      <w:r/>
    </w:p>
    <w:p>
      <w:pPr>
        <w:ind w:firstLine="480"/>
        <w:spacing w:line="360" w:lineRule="auto"/>
        <w:rPr>
          <w:color w:val="auto"/>
          <w:sz w:val="24"/>
          <w:highlight w:val="none"/>
        </w:rPr>
      </w:pPr>
      <w:r>
        <w:rPr>
          <w:color w:val="auto"/>
          <w:sz w:val="24"/>
          <w:highlight w:val="none"/>
        </w:rPr>
        <w:t xml:space="preserve">项目编号：</w:t>
      </w:r>
      <w:r>
        <w:rPr>
          <w:color w:val="auto"/>
          <w:sz w:val="24"/>
          <w:highlight w:val="none"/>
          <w:u w:val="single"/>
        </w:rPr>
        <w:t xml:space="preserve">                   </w:t>
      </w:r>
      <w:r/>
    </w:p>
    <w:tbl>
      <w:tblPr>
        <w:tblStyle w:val="75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bl>
    <w:p>
      <w:pPr>
        <w:tabs>
          <w:tab w:val="left" w:pos="9765" w:leader="none"/>
        </w:tabs>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jc w:val="left"/>
        <w:widowControl/>
        <w:rPr>
          <w:b/>
          <w:color w:val="auto"/>
          <w:sz w:val="36"/>
          <w:szCs w:val="36"/>
          <w:highlight w:val="none"/>
        </w:rPr>
      </w:pPr>
      <w:r>
        <w:rPr>
          <w:b/>
          <w:color w:val="auto"/>
          <w:sz w:val="36"/>
          <w:szCs w:val="36"/>
          <w:highlight w:val="none"/>
        </w:rPr>
      </w:r>
      <w:r/>
    </w:p>
    <w:p>
      <w:pPr>
        <w:pStyle w:val="975"/>
        <w:rPr>
          <w:rFonts w:ascii="Times New Roman" w:hAnsi="Times New Roman"/>
          <w:b w:val="0"/>
          <w:color w:val="auto"/>
          <w:sz w:val="36"/>
          <w:szCs w:val="36"/>
          <w:highlight w:val="none"/>
        </w:rPr>
      </w:pPr>
      <w:r>
        <w:rPr>
          <w:rFonts w:ascii="Times New Roman" w:hAnsi="Times New Roman"/>
          <w:b w:val="0"/>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ascii="Times New Roman"/>
          <w:b/>
          <w:color w:val="auto"/>
          <w:sz w:val="36"/>
          <w:szCs w:val="36"/>
          <w:highlight w:val="none"/>
        </w:rPr>
      </w:pPr>
      <w:r>
        <w:rPr>
          <w:rFonts w:ascii="Times New Roman"/>
          <w:b/>
          <w:color w:val="auto"/>
          <w:sz w:val="36"/>
          <w:szCs w:val="36"/>
          <w:highlight w:val="none"/>
        </w:rPr>
      </w:r>
      <w:r/>
    </w:p>
    <w:p>
      <w:pPr>
        <w:pStyle w:val="977"/>
        <w:rPr>
          <w:rFonts w:hint="eastAsia" w:ascii="Times New Roman" w:eastAsia="宋体"/>
          <w:color w:val="auto"/>
          <w:szCs w:val="20"/>
          <w:highlight w:val="none"/>
          <w:lang w:eastAsia="zh-CN"/>
        </w:rPr>
      </w:pPr>
      <w:r>
        <w:rPr>
          <w:rFonts w:ascii="Times New Roman"/>
          <w:color w:val="auto"/>
          <w:szCs w:val="20"/>
          <w:highlight w:val="none"/>
        </w:rPr>
        <w:t xml:space="preserve">12  其他</w:t>
      </w:r>
      <w:r>
        <w:rPr>
          <w:rFonts w:hint="eastAsia" w:ascii="Times New Roman"/>
          <w:color w:val="auto"/>
          <w:szCs w:val="20"/>
          <w:highlight w:val="none"/>
          <w:lang w:eastAsia="zh-CN"/>
        </w:rPr>
        <w:t xml:space="preserve">（</w:t>
      </w:r>
      <w:r>
        <w:rPr>
          <w:rFonts w:hint="eastAsia" w:ascii="Times New Roman"/>
          <w:color w:val="auto"/>
          <w:szCs w:val="20"/>
          <w:highlight w:val="none"/>
          <w:lang w:val="en-US" w:eastAsia="zh-CN"/>
        </w:rPr>
        <w:t xml:space="preserve">采购文件要求提供或供应商认为应当提交的相关材料</w:t>
      </w:r>
      <w:r>
        <w:rPr>
          <w:rFonts w:hint="eastAsia" w:ascii="Times New Roman"/>
          <w:color w:val="auto"/>
          <w:szCs w:val="20"/>
          <w:highlight w:val="none"/>
          <w:lang w:eastAsia="zh-CN"/>
        </w:rPr>
        <w:t xml:space="preserve">）</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6"/>
      </w:rPr>
      <w:framePr w:wrap="around" w:vAnchor="text" w:hAnchor="margin" w:xAlign="right" w:y="1"/>
    </w:pPr>
    <w:r>
      <w:rPr>
        <w:rStyle w:val="1046"/>
      </w:rPr>
      <w:fldChar w:fldCharType="begin"/>
    </w:r>
    <w:r>
      <w:rPr>
        <w:rStyle w:val="1046"/>
      </w:rPr>
      <w:instrText xml:space="preserve">PAGE  </w:instrText>
    </w:r>
    <w:r>
      <w:rPr>
        <w:rStyle w:val="1046"/>
      </w:rPr>
      <w:fldChar w:fldCharType="end"/>
    </w:r>
    <w:r/>
  </w:p>
  <w:p>
    <w:pPr>
      <w:pStyle w:val="102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6"/>
      </w:rPr>
      <w:framePr w:wrap="around" w:vAnchor="text" w:hAnchor="margin" w:xAlign="right" w:y="1"/>
    </w:pPr>
    <w:r>
      <w:rPr>
        <w:rStyle w:val="1046"/>
      </w:rPr>
      <w:fldChar w:fldCharType="begin"/>
    </w:r>
    <w:r>
      <w:rPr>
        <w:rStyle w:val="1046"/>
      </w:rPr>
      <w:instrText xml:space="preserve">PAGE  </w:instrText>
    </w:r>
    <w:r>
      <w:rPr>
        <w:rStyle w:val="1046"/>
      </w:rPr>
      <w:fldChar w:fldCharType="end"/>
    </w:r>
    <w:r/>
  </w:p>
  <w:p>
    <w:pPr>
      <w:pStyle w:val="1021"/>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2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07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7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1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1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21"/>
      <w:isLgl w:val="false"/>
      <w:suff w:val="nothing"/>
      <w:lvlText w:val="%1.%2.%3.%4.%5.%6　"/>
      <w:lvlJc w:val="left"/>
      <w:pPr>
        <w:ind w:left="-25" w:firstLine="0"/>
      </w:pPr>
      <w:rPr>
        <w:rFonts w:ascii="Times New Roman" w:hAnsi="Times New Roman" w:eastAsia="宋体"/>
        <w:b/>
        <w:i w:val="0"/>
        <w:sz w:val="28"/>
      </w:rPr>
    </w:lvl>
    <w:lvl w:ilvl="6">
      <w:start w:val="1"/>
      <w:numFmt w:val="lowerLetter"/>
      <w:pStyle w:val="113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9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5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82"/>
      <w:isLgl w:val="false"/>
      <w:suff w:val="tab"/>
      <w:lvlText w:val="%1"/>
      <w:lvlJc w:val="left"/>
      <w:pPr>
        <w:ind w:left="680" w:hanging="680"/>
      </w:pPr>
      <w:rPr>
        <w:rFonts w:hint="eastAsia" w:ascii="宋体" w:hAnsi="宋体" w:eastAsia="宋体"/>
      </w:rPr>
    </w:lvl>
    <w:lvl w:ilvl="1">
      <w:start w:val="1"/>
      <w:numFmt w:val="decimal"/>
      <w:pStyle w:val="1183"/>
      <w:isLgl w:val="false"/>
      <w:suff w:val="tab"/>
      <w:lvlText w:val="%1.%2"/>
      <w:lvlJc w:val="left"/>
      <w:pPr>
        <w:ind w:left="851" w:hanging="851"/>
      </w:pPr>
      <w:rPr>
        <w:rFonts w:hint="eastAsia" w:ascii="宋体" w:hAnsi="宋体" w:eastAsia="宋体"/>
        <w:color w:val="000000"/>
      </w:rPr>
    </w:lvl>
    <w:lvl w:ilvl="2">
      <w:start w:val="1"/>
      <w:numFmt w:val="decimal"/>
      <w:pStyle w:val="11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6"/>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1"/>
      <w:numFmt w:val="decimal"/>
      <w:pStyle w:val="108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4"/>
  </w:num>
  <w:num w:numId="4">
    <w:abstractNumId w:val="2"/>
  </w:num>
  <w:num w:numId="5">
    <w:abstractNumId w:val="1"/>
  </w:num>
  <w:num w:numId="6">
    <w:abstractNumId w:val="7"/>
  </w:num>
  <w:num w:numId="7">
    <w:abstractNumId w:val="10"/>
  </w:num>
  <w:num w:numId="8">
    <w:abstractNumId w:val="15"/>
  </w:num>
  <w:num w:numId="9">
    <w:abstractNumId w:val="6"/>
  </w:num>
  <w:num w:numId="10">
    <w:abstractNumId w:val="0"/>
  </w:num>
  <w:num w:numId="11">
    <w:abstractNumId w:val="11"/>
  </w:num>
  <w:num w:numId="12">
    <w:abstractNumId w:val="3"/>
  </w:num>
  <w:num w:numId="13">
    <w:abstractNumId w:val="12"/>
  </w:num>
  <w:num w:numId="14">
    <w:abstractNumId w:val="8"/>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826"/>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0"/>
    <w:link w:val="827"/>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82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829"/>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30"/>
    <w:uiPriority w:val="9"/>
    <w:unhideWhenUsed/>
    <w:qFormat/>
    <w:pPr>
      <w:keepLines/>
      <w:keepNext/>
      <w:spacing w:before="320" w:after="200"/>
      <w:outlineLvl w:val="4"/>
    </w:pPr>
    <w:rPr>
      <w:rFonts w:ascii="Arial" w:hAnsi="Arial" w:eastAsia="Arial" w:cs="Arial"/>
      <w:b/>
      <w:bCs/>
      <w:sz w:val="24"/>
    </w:rPr>
  </w:style>
  <w:style w:type="paragraph" w:styleId="754">
    <w:name w:val="Heading 6"/>
    <w:basedOn w:val="748"/>
    <w:next w:val="748"/>
    <w:link w:val="831"/>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33"/>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34"/>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jc w:val="both"/>
      <w:widowControl w:val="off"/>
    </w:pPr>
    <w:rPr>
      <w:rFonts w:hint="default" w:ascii="Times New Roman" w:hAnsi="Times New Roman" w:eastAsia="宋体" w:cs="Times New Roman"/>
      <w:sz w:val="20"/>
      <w:lang w:val="en-US" w:eastAsia="zh-CN" w:bidi="ar-SA"/>
    </w:rPr>
  </w:style>
  <w:style w:type="paragraph" w:styleId="761">
    <w:name w:val="toc 7"/>
    <w:basedOn w:val="748"/>
    <w:next w:val="748"/>
    <w:uiPriority w:val="39"/>
    <w:unhideWhenUsed/>
    <w:qFormat/>
    <w:pPr>
      <w:ind w:left="1701"/>
      <w:spacing w:after="57"/>
    </w:pPr>
  </w:style>
  <w:style w:type="paragraph" w:styleId="762">
    <w:name w:val="Caption"/>
    <w:basedOn w:val="748"/>
    <w:next w:val="748"/>
    <w:uiPriority w:val="35"/>
    <w:semiHidden/>
    <w:unhideWhenUsed/>
    <w:qFormat/>
    <w:pPr>
      <w:spacing w:line="276" w:lineRule="auto"/>
    </w:pPr>
    <w:rPr>
      <w:b/>
      <w:bCs/>
      <w:color w:val="4f81bd"/>
      <w:sz w:val="18"/>
      <w:szCs w:val="18"/>
    </w:rPr>
  </w:style>
  <w:style w:type="paragraph" w:styleId="763">
    <w:name w:val="annotation text"/>
    <w:basedOn w:val="748"/>
    <w:uiPriority w:val="99"/>
    <w:semiHidden/>
    <w:unhideWhenUsed/>
    <w:qFormat/>
    <w:pPr>
      <w:jc w:val="left"/>
    </w:pPr>
  </w:style>
  <w:style w:type="paragraph" w:styleId="764">
    <w:name w:val="Body Text"/>
    <w:next w:val="765"/>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765" w:customStyle="1">
    <w:name w:val="样式4"/>
    <w:uiPriority w:val="0"/>
    <w:qFormat/>
    <w:pPr>
      <w:jc w:val="both"/>
      <w:widowControl w:val="off"/>
    </w:pPr>
    <w:rPr>
      <w:rFonts w:ascii="Times New Roman" w:hAnsi="Times New Roman" w:eastAsia="宋体" w:cs="Times New Roman"/>
      <w:sz w:val="24"/>
      <w:szCs w:val="24"/>
      <w:lang w:val="en-US" w:eastAsia="zh-CN" w:bidi="ar-SA"/>
    </w:rPr>
  </w:style>
  <w:style w:type="paragraph" w:styleId="766">
    <w:name w:val="toc 5"/>
    <w:basedOn w:val="748"/>
    <w:next w:val="748"/>
    <w:uiPriority w:val="39"/>
    <w:unhideWhenUsed/>
    <w:qFormat/>
    <w:pPr>
      <w:ind w:left="1134"/>
      <w:spacing w:after="57"/>
    </w:pPr>
  </w:style>
  <w:style w:type="paragraph" w:styleId="767">
    <w:name w:val="toc 3"/>
    <w:basedOn w:val="748"/>
    <w:next w:val="748"/>
    <w:uiPriority w:val="39"/>
    <w:unhideWhenUsed/>
    <w:qFormat/>
    <w:pPr>
      <w:ind w:left="567"/>
      <w:spacing w:after="57"/>
    </w:pPr>
  </w:style>
  <w:style w:type="paragraph" w:styleId="768">
    <w:name w:val="Plain Text"/>
    <w:uiPriority w:val="0"/>
    <w:qFormat/>
    <w:pPr>
      <w:jc w:val="both"/>
      <w:widowControl w:val="off"/>
    </w:pPr>
    <w:rPr>
      <w:rFonts w:hint="default" w:ascii="宋体" w:hAnsi="宋体" w:eastAsia="宋体" w:cs="Times New Roman"/>
      <w:sz w:val="26"/>
      <w:szCs w:val="22"/>
      <w:lang w:val="en-US" w:eastAsia="zh-CN" w:bidi="ar-SA"/>
    </w:rPr>
  </w:style>
  <w:style w:type="paragraph" w:styleId="769">
    <w:name w:val="toc 8"/>
    <w:basedOn w:val="748"/>
    <w:next w:val="748"/>
    <w:uiPriority w:val="39"/>
    <w:unhideWhenUsed/>
    <w:qFormat/>
    <w:pPr>
      <w:ind w:left="1984"/>
      <w:spacing w:after="57"/>
    </w:pPr>
  </w:style>
  <w:style w:type="paragraph" w:styleId="770">
    <w:name w:val="Body Text Indent 2"/>
    <w:uiPriority w:val="0"/>
    <w:qFormat/>
    <w:pPr>
      <w:ind w:firstLine="480"/>
      <w:jc w:val="both"/>
      <w:widowControl w:val="off"/>
    </w:pPr>
    <w:rPr>
      <w:rFonts w:ascii="仿宋_GB2312" w:hAnsi="Times New Roman" w:eastAsia="仿宋_GB2312" w:cs="Times New Roman"/>
      <w:sz w:val="24"/>
      <w:szCs w:val="24"/>
      <w:lang w:val="en-US" w:eastAsia="zh-CN" w:bidi="ar-SA"/>
    </w:rPr>
  </w:style>
  <w:style w:type="paragraph" w:styleId="771">
    <w:name w:val="endnote text"/>
    <w:basedOn w:val="748"/>
    <w:link w:val="972"/>
    <w:uiPriority w:val="99"/>
    <w:semiHidden/>
    <w:unhideWhenUsed/>
    <w:qFormat/>
    <w:rPr>
      <w:sz w:val="20"/>
    </w:rPr>
  </w:style>
  <w:style w:type="paragraph" w:styleId="772">
    <w:name w:val="Footer"/>
    <w:basedOn w:val="748"/>
    <w:link w:val="845"/>
    <w:uiPriority w:val="99"/>
    <w:unhideWhenUsed/>
    <w:qFormat/>
    <w:pPr>
      <w:tabs>
        <w:tab w:val="center" w:pos="7143" w:leader="none"/>
        <w:tab w:val="right" w:pos="14287" w:leader="none"/>
      </w:tabs>
    </w:pPr>
  </w:style>
  <w:style w:type="paragraph" w:styleId="773">
    <w:name w:val="Header"/>
    <w:basedOn w:val="748"/>
    <w:link w:val="843"/>
    <w:uiPriority w:val="99"/>
    <w:unhideWhenUsed/>
    <w:qFormat/>
    <w:pPr>
      <w:tabs>
        <w:tab w:val="center" w:pos="7143" w:leader="none"/>
        <w:tab w:val="right" w:pos="14287" w:leader="none"/>
      </w:tabs>
    </w:pPr>
  </w:style>
  <w:style w:type="paragraph" w:styleId="774">
    <w:name w:val="toc 1"/>
    <w:basedOn w:val="748"/>
    <w:next w:val="748"/>
    <w:uiPriority w:val="39"/>
    <w:unhideWhenUsed/>
    <w:qFormat/>
    <w:pPr>
      <w:spacing w:after="57"/>
    </w:pPr>
  </w:style>
  <w:style w:type="paragraph" w:styleId="775">
    <w:name w:val="toc 4"/>
    <w:basedOn w:val="748"/>
    <w:next w:val="748"/>
    <w:uiPriority w:val="39"/>
    <w:unhideWhenUsed/>
    <w:qFormat/>
    <w:pPr>
      <w:ind w:left="850"/>
      <w:spacing w:after="57"/>
    </w:pPr>
  </w:style>
  <w:style w:type="paragraph" w:styleId="776">
    <w:name w:val="Subtitle"/>
    <w:basedOn w:val="748"/>
    <w:next w:val="748"/>
    <w:link w:val="838"/>
    <w:uiPriority w:val="11"/>
    <w:qFormat/>
    <w:pPr>
      <w:spacing w:before="200" w:after="200"/>
    </w:pPr>
    <w:rPr>
      <w:sz w:val="24"/>
    </w:rPr>
  </w:style>
  <w:style w:type="paragraph" w:styleId="777">
    <w:name w:val="footnote text"/>
    <w:basedOn w:val="748"/>
    <w:link w:val="971"/>
    <w:uiPriority w:val="99"/>
    <w:semiHidden/>
    <w:unhideWhenUsed/>
    <w:qFormat/>
    <w:pPr>
      <w:spacing w:after="40"/>
    </w:pPr>
    <w:rPr>
      <w:sz w:val="18"/>
    </w:rPr>
  </w:style>
  <w:style w:type="paragraph" w:styleId="778">
    <w:name w:val="toc 6"/>
    <w:basedOn w:val="748"/>
    <w:next w:val="748"/>
    <w:uiPriority w:val="39"/>
    <w:unhideWhenUsed/>
    <w:qFormat/>
    <w:pPr>
      <w:ind w:left="1417"/>
      <w:spacing w:after="57"/>
    </w:pPr>
  </w:style>
  <w:style w:type="paragraph" w:styleId="779">
    <w:name w:val="table of figures"/>
    <w:basedOn w:val="748"/>
    <w:next w:val="748"/>
    <w:uiPriority w:val="99"/>
    <w:unhideWhenUsed/>
    <w:qFormat/>
  </w:style>
  <w:style w:type="paragraph" w:styleId="780">
    <w:name w:val="toc 2"/>
    <w:basedOn w:val="748"/>
    <w:next w:val="748"/>
    <w:uiPriority w:val="39"/>
    <w:unhideWhenUsed/>
    <w:qFormat/>
    <w:pPr>
      <w:ind w:left="283"/>
      <w:spacing w:after="57"/>
    </w:pPr>
  </w:style>
  <w:style w:type="paragraph" w:styleId="781">
    <w:name w:val="toc 9"/>
    <w:basedOn w:val="748"/>
    <w:next w:val="748"/>
    <w:uiPriority w:val="39"/>
    <w:unhideWhenUsed/>
    <w:qFormat/>
    <w:pPr>
      <w:ind w:left="2268"/>
      <w:spacing w:after="57"/>
    </w:pPr>
  </w:style>
  <w:style w:type="paragraph" w:styleId="782">
    <w:name w:val="Title"/>
    <w:basedOn w:val="748"/>
    <w:next w:val="748"/>
    <w:link w:val="837"/>
    <w:uiPriority w:val="10"/>
    <w:qFormat/>
    <w:pPr>
      <w:contextualSpacing/>
      <w:spacing w:before="300" w:after="200"/>
    </w:pPr>
    <w:rPr>
      <w:sz w:val="48"/>
      <w:szCs w:val="48"/>
    </w:rPr>
  </w:style>
  <w:style w:type="paragraph" w:styleId="783">
    <w:name w:val="Body Text First Indent 2"/>
    <w:next w:val="748"/>
    <w:uiPriority w:val="0"/>
    <w:qFormat/>
    <w:pPr>
      <w:ind w:left="420" w:firstLine="420"/>
      <w:jc w:val="both"/>
      <w:spacing w:after="120" w:line="480" w:lineRule="exact"/>
      <w:widowControl w:val="off"/>
    </w:pPr>
    <w:rPr>
      <w:rFonts w:ascii="Times New Roman" w:hAnsi="Times New Roman" w:eastAsia="宋体" w:cs="Times New Roman"/>
      <w:sz w:val="24"/>
      <w:szCs w:val="24"/>
      <w:lang w:val="en-US" w:eastAsia="zh-CN" w:bidi="ar-SA"/>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u w:val="single"/>
    </w:rPr>
  </w:style>
  <w:style w:type="character" w:styleId="787">
    <w:name w:val="footnote reference"/>
    <w:uiPriority w:val="99"/>
    <w:unhideWhenUsed/>
    <w:qFormat/>
    <w:rPr>
      <w:vertAlign w:val="superscript"/>
    </w:rPr>
  </w:style>
  <w:style w:type="character" w:styleId="788" w:customStyle="1">
    <w:name w:val="Heading 1 Char"/>
    <w:basedOn w:val="758"/>
    <w:uiPriority w:val="9"/>
    <w:qFormat/>
    <w:rPr>
      <w:rFonts w:ascii="Arial" w:hAnsi="Arial" w:eastAsia="Arial" w:cs="Arial"/>
      <w:sz w:val="40"/>
      <w:szCs w:val="40"/>
    </w:rPr>
  </w:style>
  <w:style w:type="character" w:styleId="789" w:customStyle="1">
    <w:name w:val="Heading 2 Char"/>
    <w:basedOn w:val="758"/>
    <w:uiPriority w:val="9"/>
    <w:qFormat/>
    <w:rPr>
      <w:rFonts w:ascii="Arial" w:hAnsi="Arial" w:eastAsia="Arial" w:cs="Arial"/>
      <w:sz w:val="34"/>
    </w:rPr>
  </w:style>
  <w:style w:type="character" w:styleId="790" w:customStyle="1">
    <w:name w:val="Heading 3 Char"/>
    <w:basedOn w:val="758"/>
    <w:uiPriority w:val="9"/>
    <w:qFormat/>
    <w:rPr>
      <w:rFonts w:ascii="Arial" w:hAnsi="Arial" w:eastAsia="Arial" w:cs="Arial"/>
      <w:sz w:val="30"/>
      <w:szCs w:val="30"/>
    </w:rPr>
  </w:style>
  <w:style w:type="character" w:styleId="791" w:customStyle="1">
    <w:name w:val="Heading 4 Char"/>
    <w:basedOn w:val="758"/>
    <w:uiPriority w:val="9"/>
    <w:qFormat/>
    <w:rPr>
      <w:rFonts w:ascii="Arial" w:hAnsi="Arial" w:eastAsia="Arial" w:cs="Arial"/>
      <w:b/>
      <w:bCs/>
      <w:sz w:val="26"/>
      <w:szCs w:val="26"/>
    </w:rPr>
  </w:style>
  <w:style w:type="character" w:styleId="792" w:customStyle="1">
    <w:name w:val="Heading 5 Char"/>
    <w:basedOn w:val="758"/>
    <w:uiPriority w:val="9"/>
    <w:qFormat/>
    <w:rPr>
      <w:rFonts w:ascii="Arial" w:hAnsi="Arial" w:eastAsia="Arial" w:cs="Arial"/>
      <w:b/>
      <w:bCs/>
      <w:sz w:val="24"/>
      <w:szCs w:val="24"/>
    </w:rPr>
  </w:style>
  <w:style w:type="character" w:styleId="793" w:customStyle="1">
    <w:name w:val="Heading 6 Char"/>
    <w:basedOn w:val="758"/>
    <w:uiPriority w:val="9"/>
    <w:qFormat/>
    <w:rPr>
      <w:rFonts w:ascii="Arial" w:hAnsi="Arial" w:eastAsia="Arial" w:cs="Arial"/>
      <w:b/>
      <w:bCs/>
      <w:sz w:val="22"/>
      <w:szCs w:val="22"/>
    </w:rPr>
  </w:style>
  <w:style w:type="character" w:styleId="794" w:customStyle="1">
    <w:name w:val="Heading 7 Char"/>
    <w:basedOn w:val="758"/>
    <w:uiPriority w:val="9"/>
    <w:qFormat/>
    <w:rPr>
      <w:rFonts w:ascii="Arial" w:hAnsi="Arial" w:eastAsia="Arial" w:cs="Arial"/>
      <w:b/>
      <w:bCs/>
      <w:i/>
      <w:iCs/>
      <w:sz w:val="22"/>
      <w:szCs w:val="22"/>
    </w:rPr>
  </w:style>
  <w:style w:type="character" w:styleId="795" w:customStyle="1">
    <w:name w:val="Heading 8 Char"/>
    <w:basedOn w:val="758"/>
    <w:uiPriority w:val="9"/>
    <w:qFormat/>
    <w:rPr>
      <w:rFonts w:ascii="Arial" w:hAnsi="Arial" w:eastAsia="Arial" w:cs="Arial"/>
      <w:i/>
      <w:iCs/>
      <w:sz w:val="22"/>
      <w:szCs w:val="22"/>
    </w:rPr>
  </w:style>
  <w:style w:type="character" w:styleId="796" w:customStyle="1">
    <w:name w:val="Heading 9 Char"/>
    <w:basedOn w:val="758"/>
    <w:uiPriority w:val="9"/>
    <w:qFormat/>
    <w:rPr>
      <w:rFonts w:ascii="Arial" w:hAnsi="Arial" w:eastAsia="Arial" w:cs="Arial"/>
      <w:i/>
      <w:iCs/>
      <w:sz w:val="21"/>
      <w:szCs w:val="21"/>
    </w:rPr>
  </w:style>
  <w:style w:type="character" w:styleId="797" w:customStyle="1">
    <w:name w:val="Title Char"/>
    <w:basedOn w:val="758"/>
    <w:uiPriority w:val="10"/>
    <w:qFormat/>
    <w:rPr>
      <w:sz w:val="48"/>
      <w:szCs w:val="48"/>
    </w:rPr>
  </w:style>
  <w:style w:type="character" w:styleId="798" w:customStyle="1">
    <w:name w:val="Subtitle Char"/>
    <w:basedOn w:val="758"/>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58"/>
    <w:uiPriority w:val="99"/>
    <w:qFormat/>
  </w:style>
  <w:style w:type="character" w:styleId="802" w:customStyle="1">
    <w:name w:val="Caption Char"/>
    <w:uiPriority w:val="99"/>
    <w:qFormat/>
  </w:style>
  <w:style w:type="table" w:styleId="803"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826" w:customStyle="1">
    <w:name w:val="标题 1 字符"/>
    <w:link w:val="749"/>
    <w:uiPriority w:val="9"/>
    <w:qFormat/>
    <w:rPr>
      <w:rFonts w:ascii="Arial" w:hAnsi="Arial" w:eastAsia="Arial" w:cs="Arial"/>
      <w:sz w:val="40"/>
      <w:szCs w:val="40"/>
    </w:rPr>
  </w:style>
  <w:style w:type="character" w:styleId="827" w:customStyle="1">
    <w:name w:val="标题 2 字符"/>
    <w:link w:val="750"/>
    <w:uiPriority w:val="9"/>
    <w:qFormat/>
    <w:rPr>
      <w:rFonts w:ascii="Arial" w:hAnsi="Arial" w:eastAsia="Arial" w:cs="Arial"/>
      <w:sz w:val="34"/>
    </w:rPr>
  </w:style>
  <w:style w:type="character" w:styleId="828" w:customStyle="1">
    <w:name w:val="标题 3 字符"/>
    <w:link w:val="751"/>
    <w:uiPriority w:val="9"/>
    <w:qFormat/>
    <w:rPr>
      <w:rFonts w:ascii="Arial" w:hAnsi="Arial" w:eastAsia="Arial" w:cs="Arial"/>
      <w:sz w:val="30"/>
      <w:szCs w:val="30"/>
    </w:rPr>
  </w:style>
  <w:style w:type="character" w:styleId="829" w:customStyle="1">
    <w:name w:val="标题 4 字符"/>
    <w:link w:val="752"/>
    <w:uiPriority w:val="9"/>
    <w:qFormat/>
    <w:rPr>
      <w:rFonts w:ascii="Arial" w:hAnsi="Arial" w:eastAsia="Arial" w:cs="Arial"/>
      <w:b/>
      <w:bCs/>
      <w:sz w:val="26"/>
      <w:szCs w:val="26"/>
    </w:rPr>
  </w:style>
  <w:style w:type="character" w:styleId="830" w:customStyle="1">
    <w:name w:val="标题 5 字符"/>
    <w:link w:val="753"/>
    <w:uiPriority w:val="9"/>
    <w:qFormat/>
    <w:rPr>
      <w:rFonts w:ascii="Arial" w:hAnsi="Arial" w:eastAsia="Arial" w:cs="Arial"/>
      <w:b/>
      <w:bCs/>
      <w:sz w:val="24"/>
      <w:szCs w:val="24"/>
    </w:rPr>
  </w:style>
  <w:style w:type="character" w:styleId="831" w:customStyle="1">
    <w:name w:val="标题 6 字符"/>
    <w:link w:val="754"/>
    <w:uiPriority w:val="9"/>
    <w:qFormat/>
    <w:rPr>
      <w:rFonts w:ascii="Arial" w:hAnsi="Arial" w:eastAsia="Arial" w:cs="Arial"/>
      <w:b/>
      <w:bCs/>
      <w:sz w:val="22"/>
      <w:szCs w:val="22"/>
    </w:rPr>
  </w:style>
  <w:style w:type="character" w:styleId="832" w:customStyle="1">
    <w:name w:val="标题 7 字符"/>
    <w:link w:val="755"/>
    <w:uiPriority w:val="9"/>
    <w:qFormat/>
    <w:rPr>
      <w:rFonts w:ascii="Arial" w:hAnsi="Arial" w:eastAsia="Arial" w:cs="Arial"/>
      <w:b/>
      <w:bCs/>
      <w:i/>
      <w:iCs/>
      <w:sz w:val="22"/>
      <w:szCs w:val="22"/>
    </w:rPr>
  </w:style>
  <w:style w:type="character" w:styleId="833" w:customStyle="1">
    <w:name w:val="标题 8 字符"/>
    <w:link w:val="756"/>
    <w:uiPriority w:val="9"/>
    <w:qFormat/>
    <w:rPr>
      <w:rFonts w:ascii="Arial" w:hAnsi="Arial" w:eastAsia="Arial" w:cs="Arial"/>
      <w:i/>
      <w:iCs/>
      <w:sz w:val="22"/>
      <w:szCs w:val="22"/>
    </w:rPr>
  </w:style>
  <w:style w:type="character" w:styleId="834" w:customStyle="1">
    <w:name w:val="标题 9 字符"/>
    <w:link w:val="757"/>
    <w:uiPriority w:val="9"/>
    <w:qFormat/>
    <w:rPr>
      <w:rFonts w:ascii="Arial" w:hAnsi="Arial" w:eastAsia="Arial" w:cs="Arial"/>
      <w:i/>
      <w:iCs/>
      <w:sz w:val="21"/>
      <w:szCs w:val="21"/>
    </w:rPr>
  </w:style>
  <w:style w:type="paragraph" w:styleId="835">
    <w:name w:val="List Paragraph"/>
    <w:basedOn w:val="748"/>
    <w:uiPriority w:val="34"/>
    <w:qFormat/>
    <w:pPr>
      <w:contextualSpacing/>
      <w:ind w:left="720"/>
    </w:pPr>
  </w:style>
  <w:style w:type="paragraph" w:styleId="836">
    <w:name w:val="No Spacing"/>
    <w:uiPriority w:val="1"/>
    <w:qFormat/>
    <w:rPr>
      <w:rFonts w:hint="default" w:ascii="Times New Roman" w:hAnsi="Times New Roman" w:eastAsia="宋体" w:cs="Times New Roman"/>
      <w:lang w:val="en-US" w:eastAsia="zh-CN" w:bidi="ar-SA"/>
    </w:rPr>
  </w:style>
  <w:style w:type="character" w:styleId="837" w:customStyle="1">
    <w:name w:val="标题 字符"/>
    <w:link w:val="782"/>
    <w:uiPriority w:val="10"/>
    <w:qFormat/>
    <w:rPr>
      <w:sz w:val="48"/>
      <w:szCs w:val="48"/>
    </w:rPr>
  </w:style>
  <w:style w:type="character" w:styleId="838" w:customStyle="1">
    <w:name w:val="副标题 字符"/>
    <w:link w:val="776"/>
    <w:uiPriority w:val="11"/>
    <w:qFormat/>
    <w:rPr>
      <w:sz w:val="24"/>
      <w:szCs w:val="24"/>
    </w:rPr>
  </w:style>
  <w:style w:type="paragraph" w:styleId="839">
    <w:name w:val="Quote"/>
    <w:basedOn w:val="748"/>
    <w:next w:val="748"/>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48"/>
    <w:next w:val="748"/>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773"/>
    <w:uiPriority w:val="99"/>
    <w:qFormat/>
  </w:style>
  <w:style w:type="character" w:styleId="844" w:customStyle="1">
    <w:name w:val="Footer Char"/>
    <w:uiPriority w:val="99"/>
    <w:qFormat/>
  </w:style>
  <w:style w:type="character" w:styleId="845" w:customStyle="1">
    <w:name w:val="页脚 字符"/>
    <w:link w:val="772"/>
    <w:uiPriority w:val="99"/>
    <w:qFormat/>
  </w:style>
  <w:style w:type="table" w:styleId="84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9" w:customStyle="1">
    <w:name w:val="无格式表格 31"/>
    <w:uiPriority w:val="99"/>
    <w:qFormat/>
    <w:tblPr>
      <w:tblCellMar>
        <w:left w:w="0" w:type="dxa"/>
        <w:top w:w="0" w:type="dxa"/>
        <w:right w:w="0" w:type="dxa"/>
        <w:bottom w:w="0" w:type="dxa"/>
      </w:tblCellMar>
    </w:tblPr>
  </w:style>
  <w:style w:type="table" w:styleId="850" w:customStyle="1">
    <w:name w:val="无格式表格 41"/>
    <w:uiPriority w:val="99"/>
    <w:qFormat/>
    <w:tblPr>
      <w:tblCellMar>
        <w:left w:w="0" w:type="dxa"/>
        <w:top w:w="0" w:type="dxa"/>
        <w:right w:w="0" w:type="dxa"/>
        <w:bottom w:w="0" w:type="dxa"/>
      </w:tblCellMar>
    </w:tblPr>
  </w:style>
  <w:style w:type="table" w:styleId="851" w:customStyle="1">
    <w:name w:val="无格式表格 51"/>
    <w:uiPriority w:val="99"/>
    <w:qFormat/>
    <w:tblPr>
      <w:tblCellMar>
        <w:left w:w="0" w:type="dxa"/>
        <w:top w:w="0" w:type="dxa"/>
        <w:right w:w="0" w:type="dxa"/>
        <w:bottom w:w="0" w:type="dxa"/>
      </w:tblCellMar>
    </w:tblPr>
  </w:style>
  <w:style w:type="table" w:styleId="85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1" w:customStyle="1">
    <w:name w:val="清单表 1 浅色1"/>
    <w:uiPriority w:val="99"/>
    <w:qFormat/>
    <w:tblPr>
      <w:tblCellMar>
        <w:left w:w="0" w:type="dxa"/>
        <w:top w:w="0" w:type="dxa"/>
        <w:right w:w="0" w:type="dxa"/>
        <w:bottom w:w="0" w:type="dxa"/>
      </w:tblCellMar>
    </w:tblPr>
  </w:style>
  <w:style w:type="table" w:styleId="902" w:customStyle="1">
    <w:name w:val="List Table 1 Light - Accent 1"/>
    <w:uiPriority w:val="99"/>
    <w:qFormat/>
    <w:tblPr>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List Table 1 Light - Accent 3"/>
    <w:uiPriority w:val="99"/>
    <w:qFormat/>
    <w:tblPr>
      <w:tblCellMar>
        <w:left w:w="0" w:type="dxa"/>
        <w:top w:w="0" w:type="dxa"/>
        <w:right w:w="0" w:type="dxa"/>
        <w:bottom w:w="0" w:type="dxa"/>
      </w:tblCellMar>
    </w:tblPr>
  </w:style>
  <w:style w:type="table" w:styleId="905" w:customStyle="1">
    <w:name w:val="List Table 1 Light - Accent 4"/>
    <w:uiPriority w:val="99"/>
    <w:qFormat/>
    <w:tblPr>
      <w:tblCellMar>
        <w:left w:w="0" w:type="dxa"/>
        <w:top w:w="0" w:type="dxa"/>
        <w:right w:w="0" w:type="dxa"/>
        <w:bottom w:w="0" w:type="dxa"/>
      </w:tblCellMar>
    </w:tblPr>
  </w:style>
  <w:style w:type="table" w:styleId="906" w:customStyle="1">
    <w:name w:val="List Table 1 Light - Accent 5"/>
    <w:uiPriority w:val="99"/>
    <w:qFormat/>
    <w:tblPr>
      <w:tblCellMar>
        <w:left w:w="0" w:type="dxa"/>
        <w:top w:w="0" w:type="dxa"/>
        <w:right w:w="0" w:type="dxa"/>
        <w:bottom w:w="0" w:type="dxa"/>
      </w:tblCellMar>
    </w:tblPr>
  </w:style>
  <w:style w:type="table" w:styleId="907" w:customStyle="1">
    <w:name w:val="List Table 1 Light - Accent 6"/>
    <w:uiPriority w:val="99"/>
    <w:qFormat/>
    <w:tblPr>
      <w:tblCellMar>
        <w:left w:w="0" w:type="dxa"/>
        <w:top w:w="0" w:type="dxa"/>
        <w:right w:w="0" w:type="dxa"/>
        <w:bottom w:w="0" w:type="dxa"/>
      </w:tblCellMar>
    </w:tblPr>
  </w:style>
  <w:style w:type="table" w:styleId="90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0" w:customStyle="1">
    <w:name w:val="Lined - Accent"/>
    <w:uiPriority w:val="99"/>
    <w:qFormat/>
    <w:rPr>
      <w:color w:val="404040"/>
    </w:rPr>
    <w:tblPr>
      <w:tblCellMar>
        <w:left w:w="0" w:type="dxa"/>
        <w:top w:w="0" w:type="dxa"/>
        <w:right w:w="0" w:type="dxa"/>
        <w:bottom w:w="0" w:type="dxa"/>
      </w:tblCellMar>
    </w:tblPr>
  </w:style>
  <w:style w:type="table" w:styleId="951" w:customStyle="1">
    <w:name w:val="Lined - Accent 1"/>
    <w:uiPriority w:val="99"/>
    <w:qFormat/>
    <w:rPr>
      <w:color w:val="404040"/>
    </w:rPr>
    <w:tblPr>
      <w:tblCellMar>
        <w:left w:w="0" w:type="dxa"/>
        <w:top w:w="0" w:type="dxa"/>
        <w:right w:w="0" w:type="dxa"/>
        <w:bottom w:w="0" w:type="dxa"/>
      </w:tblCellMar>
    </w:tblPr>
  </w:style>
  <w:style w:type="table" w:styleId="952" w:customStyle="1">
    <w:name w:val="Lined - Accent 2"/>
    <w:uiPriority w:val="99"/>
    <w:qFormat/>
    <w:rPr>
      <w:color w:val="404040"/>
    </w:rPr>
    <w:tblPr>
      <w:tblCellMar>
        <w:left w:w="0" w:type="dxa"/>
        <w:top w:w="0" w:type="dxa"/>
        <w:right w:w="0" w:type="dxa"/>
        <w:bottom w:w="0" w:type="dxa"/>
      </w:tblCellMar>
    </w:tblPr>
  </w:style>
  <w:style w:type="table" w:styleId="953" w:customStyle="1">
    <w:name w:val="Lined - Accent 3"/>
    <w:uiPriority w:val="99"/>
    <w:qFormat/>
    <w:rPr>
      <w:color w:val="404040"/>
    </w:rPr>
    <w:tblPr>
      <w:tblCellMar>
        <w:left w:w="0" w:type="dxa"/>
        <w:top w:w="0" w:type="dxa"/>
        <w:right w:w="0" w:type="dxa"/>
        <w:bottom w:w="0" w:type="dxa"/>
      </w:tblCellMar>
    </w:tblPr>
  </w:style>
  <w:style w:type="table" w:styleId="954" w:customStyle="1">
    <w:name w:val="Lined - Accent 4"/>
    <w:uiPriority w:val="99"/>
    <w:qFormat/>
    <w:rPr>
      <w:color w:val="404040"/>
    </w:rPr>
    <w:tblPr>
      <w:tblCellMar>
        <w:left w:w="0" w:type="dxa"/>
        <w:top w:w="0" w:type="dxa"/>
        <w:right w:w="0" w:type="dxa"/>
        <w:bottom w:w="0" w:type="dxa"/>
      </w:tblCellMar>
    </w:tblPr>
  </w:style>
  <w:style w:type="table" w:styleId="955" w:customStyle="1">
    <w:name w:val="Lined - Accent 5"/>
    <w:uiPriority w:val="99"/>
    <w:qFormat/>
    <w:rPr>
      <w:color w:val="404040"/>
    </w:rPr>
    <w:tblPr>
      <w:tblCellMar>
        <w:left w:w="0" w:type="dxa"/>
        <w:top w:w="0" w:type="dxa"/>
        <w:right w:w="0" w:type="dxa"/>
        <w:bottom w:w="0" w:type="dxa"/>
      </w:tblCellMar>
    </w:tblPr>
  </w:style>
  <w:style w:type="table" w:styleId="956" w:customStyle="1">
    <w:name w:val="Lined - Accent 6"/>
    <w:uiPriority w:val="99"/>
    <w:qFormat/>
    <w:rPr>
      <w:color w:val="404040"/>
    </w:rPr>
    <w:tblPr>
      <w:tblCellMar>
        <w:left w:w="0" w:type="dxa"/>
        <w:top w:w="0" w:type="dxa"/>
        <w:right w:w="0" w:type="dxa"/>
        <w:bottom w:w="0" w:type="dxa"/>
      </w:tblCellMar>
    </w:tblPr>
  </w:style>
  <w:style w:type="table" w:styleId="9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1" w:customStyle="1">
    <w:name w:val="脚注文本 字符"/>
    <w:link w:val="777"/>
    <w:uiPriority w:val="99"/>
    <w:qFormat/>
    <w:rPr>
      <w:sz w:val="18"/>
    </w:rPr>
  </w:style>
  <w:style w:type="character" w:styleId="972" w:customStyle="1">
    <w:name w:val="尾注文本 字符"/>
    <w:link w:val="771"/>
    <w:uiPriority w:val="99"/>
    <w:qFormat/>
    <w:rPr>
      <w:sz w:val="20"/>
    </w:rPr>
  </w:style>
  <w:style w:type="paragraph" w:styleId="973" w:customStyle="1">
    <w:name w:val="TOC 标题1"/>
    <w:uiPriority w:val="39"/>
    <w:unhideWhenUsed/>
    <w:qFormat/>
    <w:rPr>
      <w:rFonts w:hint="default" w:ascii="Times New Roman" w:hAnsi="Times New Roman" w:eastAsia="宋体" w:cs="Times New Roman"/>
      <w:lang w:val="en-US" w:eastAsia="zh-CN" w:bidi="ar-SA"/>
    </w:rPr>
  </w:style>
  <w:style w:type="paragraph" w:styleId="974" w:customStyle="1">
    <w:name w:val="标题 11"/>
    <w:basedOn w:val="748"/>
    <w:next w:val="748"/>
    <w:link w:val="986"/>
    <w:uiPriority w:val="0"/>
    <w:qFormat/>
    <w:pPr>
      <w:jc w:val="center"/>
      <w:keepLines/>
      <w:keepNext/>
      <w:spacing w:before="240" w:after="120" w:line="300" w:lineRule="auto"/>
      <w:outlineLvl w:val="0"/>
    </w:pPr>
    <w:rPr>
      <w:rFonts w:ascii="宋体"/>
      <w:b/>
      <w:sz w:val="32"/>
      <w:szCs w:val="20"/>
    </w:rPr>
  </w:style>
  <w:style w:type="paragraph" w:styleId="975" w:customStyle="1">
    <w:name w:val="标题 21"/>
    <w:basedOn w:val="748"/>
    <w:next w:val="748"/>
    <w:link w:val="987"/>
    <w:uiPriority w:val="0"/>
    <w:qFormat/>
    <w:pPr>
      <w:jc w:val="center"/>
      <w:keepLines/>
      <w:keepNext/>
      <w:spacing w:before="120" w:line="300" w:lineRule="auto"/>
      <w:outlineLvl w:val="1"/>
    </w:pPr>
    <w:rPr>
      <w:rFonts w:ascii="Arial" w:hAnsi="Arial" w:eastAsia="黑体"/>
      <w:b/>
      <w:sz w:val="30"/>
      <w:szCs w:val="20"/>
    </w:rPr>
  </w:style>
  <w:style w:type="paragraph" w:styleId="976" w:customStyle="1">
    <w:name w:val="标题 31"/>
    <w:basedOn w:val="748"/>
    <w:next w:val="977"/>
    <w:link w:val="988"/>
    <w:uiPriority w:val="0"/>
    <w:qFormat/>
    <w:pPr>
      <w:jc w:val="left"/>
      <w:keepLines/>
      <w:keepNext/>
      <w:spacing w:before="360" w:after="120"/>
      <w:outlineLvl w:val="2"/>
    </w:pPr>
    <w:rPr>
      <w:rFonts w:ascii="宋体"/>
      <w:b/>
      <w:sz w:val="24"/>
      <w:szCs w:val="20"/>
      <w:u w:val="single"/>
    </w:rPr>
  </w:style>
  <w:style w:type="paragraph" w:styleId="977" w:customStyle="1">
    <w:name w:val="正文缩进11"/>
    <w:basedOn w:val="748"/>
    <w:link w:val="989"/>
    <w:uiPriority w:val="0"/>
    <w:qFormat/>
    <w:pPr>
      <w:ind w:firstLine="420"/>
      <w:jc w:val="left"/>
    </w:pPr>
    <w:rPr>
      <w:rFonts w:ascii="宋体"/>
      <w:sz w:val="24"/>
    </w:rPr>
  </w:style>
  <w:style w:type="paragraph" w:styleId="978" w:customStyle="1">
    <w:name w:val="标题 41"/>
    <w:basedOn w:val="748"/>
    <w:next w:val="748"/>
    <w:link w:val="990"/>
    <w:uiPriority w:val="0"/>
    <w:qFormat/>
    <w:pPr>
      <w:keepLines/>
      <w:keepNext/>
      <w:spacing w:before="280" w:after="290" w:line="376" w:lineRule="atLeast"/>
      <w:outlineLvl w:val="3"/>
    </w:pPr>
    <w:rPr>
      <w:rFonts w:ascii="Arial" w:hAnsi="Arial" w:eastAsia="黑体"/>
      <w:b/>
      <w:sz w:val="28"/>
      <w:szCs w:val="20"/>
    </w:rPr>
  </w:style>
  <w:style w:type="paragraph" w:styleId="979" w:customStyle="1">
    <w:name w:val="标题 51"/>
    <w:basedOn w:val="748"/>
    <w:next w:val="748"/>
    <w:link w:val="991"/>
    <w:uiPriority w:val="0"/>
    <w:qFormat/>
    <w:pPr>
      <w:keepLines/>
      <w:keepNext/>
      <w:spacing w:before="280" w:after="290" w:line="376" w:lineRule="atLeast"/>
      <w:outlineLvl w:val="4"/>
    </w:pPr>
    <w:rPr>
      <w:b/>
      <w:sz w:val="28"/>
      <w:szCs w:val="20"/>
    </w:rPr>
  </w:style>
  <w:style w:type="paragraph" w:styleId="980" w:customStyle="1">
    <w:name w:val="标题 61"/>
    <w:basedOn w:val="748"/>
    <w:next w:val="748"/>
    <w:link w:val="992"/>
    <w:uiPriority w:val="0"/>
    <w:qFormat/>
    <w:pPr>
      <w:keepLines/>
      <w:keepNext/>
      <w:spacing w:before="240" w:after="64" w:line="320" w:lineRule="atLeast"/>
      <w:outlineLvl w:val="5"/>
    </w:pPr>
    <w:rPr>
      <w:rFonts w:ascii="Arial" w:hAnsi="Arial" w:eastAsia="黑体"/>
      <w:b/>
      <w:sz w:val="24"/>
      <w:szCs w:val="20"/>
    </w:rPr>
  </w:style>
  <w:style w:type="paragraph" w:styleId="981" w:customStyle="1">
    <w:name w:val="标题 71"/>
    <w:basedOn w:val="748"/>
    <w:next w:val="748"/>
    <w:link w:val="993"/>
    <w:uiPriority w:val="0"/>
    <w:qFormat/>
    <w:pPr>
      <w:keepLines/>
      <w:keepNext/>
      <w:spacing w:before="240" w:after="64" w:line="320" w:lineRule="atLeast"/>
      <w:outlineLvl w:val="6"/>
    </w:pPr>
    <w:rPr>
      <w:b/>
      <w:sz w:val="24"/>
      <w:szCs w:val="20"/>
    </w:rPr>
  </w:style>
  <w:style w:type="paragraph" w:styleId="982" w:customStyle="1">
    <w:name w:val="标题 81"/>
    <w:basedOn w:val="748"/>
    <w:next w:val="748"/>
    <w:link w:val="994"/>
    <w:uiPriority w:val="0"/>
    <w:qFormat/>
    <w:pPr>
      <w:keepLines/>
      <w:keepNext/>
      <w:spacing w:before="240" w:after="64" w:line="320" w:lineRule="atLeast"/>
      <w:outlineLvl w:val="7"/>
    </w:pPr>
    <w:rPr>
      <w:rFonts w:ascii="Arial" w:hAnsi="Arial" w:eastAsia="黑体"/>
      <w:sz w:val="24"/>
      <w:szCs w:val="20"/>
    </w:rPr>
  </w:style>
  <w:style w:type="paragraph" w:styleId="983" w:customStyle="1">
    <w:name w:val="标题 91"/>
    <w:basedOn w:val="748"/>
    <w:next w:val="748"/>
    <w:link w:val="995"/>
    <w:uiPriority w:val="0"/>
    <w:qFormat/>
    <w:pPr>
      <w:keepLines/>
      <w:keepNext/>
      <w:spacing w:before="240" w:after="64" w:line="320" w:lineRule="atLeast"/>
      <w:outlineLvl w:val="8"/>
    </w:pPr>
    <w:rPr>
      <w:rFonts w:ascii="Arial" w:hAnsi="Arial" w:eastAsia="黑体"/>
      <w:szCs w:val="20"/>
    </w:rPr>
  </w:style>
  <w:style w:type="character" w:styleId="984" w:customStyle="1">
    <w:name w:val="默认段落字体1"/>
    <w:uiPriority w:val="1"/>
    <w:unhideWhenUsed/>
    <w:qFormat/>
  </w:style>
  <w:style w:type="table" w:styleId="985" w:customStyle="1">
    <w:name w:val="普通表格1"/>
    <w:uiPriority w:val="99"/>
    <w:unhideWhenUsed/>
    <w:qFormat/>
    <w:tblPr>
      <w:tblCellMar>
        <w:left w:w="0" w:type="dxa"/>
        <w:top w:w="0" w:type="dxa"/>
        <w:right w:w="0" w:type="dxa"/>
        <w:bottom w:w="0" w:type="dxa"/>
      </w:tblCellMar>
    </w:tblPr>
  </w:style>
  <w:style w:type="character" w:styleId="986" w:customStyle="1">
    <w:name w:val="标题 1 Char"/>
    <w:link w:val="974"/>
    <w:uiPriority w:val="0"/>
    <w:qFormat/>
    <w:rPr>
      <w:rFonts w:ascii="宋体"/>
      <w:b/>
      <w:sz w:val="32"/>
    </w:rPr>
  </w:style>
  <w:style w:type="character" w:styleId="987" w:customStyle="1">
    <w:name w:val="标题 2 Char1"/>
    <w:link w:val="975"/>
    <w:uiPriority w:val="0"/>
    <w:qFormat/>
    <w:rPr>
      <w:rFonts w:ascii="Arial" w:hAnsi="Arial" w:eastAsia="黑体"/>
      <w:b/>
      <w:sz w:val="30"/>
      <w:lang w:val="en-US" w:eastAsia="zh-CN" w:bidi="ar-SA"/>
    </w:rPr>
  </w:style>
  <w:style w:type="character" w:styleId="988" w:customStyle="1">
    <w:name w:val="标题 3 Char1"/>
    <w:link w:val="976"/>
    <w:uiPriority w:val="0"/>
    <w:qFormat/>
    <w:rPr>
      <w:rFonts w:ascii="宋体" w:eastAsia="宋体"/>
      <w:b/>
      <w:sz w:val="24"/>
      <w:u w:val="single"/>
      <w:lang w:val="en-US" w:eastAsia="zh-CN" w:bidi="ar-SA"/>
    </w:rPr>
  </w:style>
  <w:style w:type="character" w:styleId="989" w:customStyle="1">
    <w:name w:val="正文缩进 Char1"/>
    <w:link w:val="977"/>
    <w:uiPriority w:val="0"/>
    <w:qFormat/>
    <w:rPr>
      <w:rFonts w:ascii="宋体" w:eastAsia="宋体"/>
      <w:sz w:val="24"/>
      <w:szCs w:val="24"/>
      <w:lang w:val="en-US" w:eastAsia="zh-CN" w:bidi="ar-SA"/>
    </w:rPr>
  </w:style>
  <w:style w:type="character" w:styleId="990" w:customStyle="1">
    <w:name w:val="标题 4 Char"/>
    <w:link w:val="978"/>
    <w:uiPriority w:val="0"/>
    <w:qFormat/>
    <w:rPr>
      <w:rFonts w:ascii="Arial" w:hAnsi="Arial" w:eastAsia="黑体"/>
      <w:b/>
      <w:sz w:val="28"/>
    </w:rPr>
  </w:style>
  <w:style w:type="character" w:styleId="991" w:customStyle="1">
    <w:name w:val="标题 5 Char"/>
    <w:link w:val="979"/>
    <w:uiPriority w:val="0"/>
    <w:qFormat/>
    <w:rPr>
      <w:b/>
      <w:sz w:val="28"/>
    </w:rPr>
  </w:style>
  <w:style w:type="character" w:styleId="992" w:customStyle="1">
    <w:name w:val="标题 6 Char"/>
    <w:link w:val="980"/>
    <w:uiPriority w:val="0"/>
    <w:qFormat/>
    <w:rPr>
      <w:rFonts w:ascii="Arial" w:hAnsi="Arial" w:eastAsia="黑体"/>
      <w:b/>
      <w:sz w:val="24"/>
    </w:rPr>
  </w:style>
  <w:style w:type="character" w:styleId="993" w:customStyle="1">
    <w:name w:val="标题 7 Char"/>
    <w:link w:val="981"/>
    <w:uiPriority w:val="0"/>
    <w:qFormat/>
    <w:rPr>
      <w:b/>
      <w:sz w:val="24"/>
    </w:rPr>
  </w:style>
  <w:style w:type="character" w:styleId="994" w:customStyle="1">
    <w:name w:val="标题 8 Char"/>
    <w:link w:val="982"/>
    <w:uiPriority w:val="0"/>
    <w:qFormat/>
    <w:rPr>
      <w:rFonts w:ascii="Arial" w:hAnsi="Arial" w:eastAsia="黑体"/>
      <w:sz w:val="24"/>
    </w:rPr>
  </w:style>
  <w:style w:type="character" w:styleId="995" w:customStyle="1">
    <w:name w:val="标题 9 Char"/>
    <w:link w:val="983"/>
    <w:uiPriority w:val="0"/>
    <w:qFormat/>
    <w:rPr>
      <w:rFonts w:ascii="Arial" w:hAnsi="Arial" w:eastAsia="黑体"/>
      <w:sz w:val="21"/>
    </w:rPr>
  </w:style>
  <w:style w:type="paragraph" w:styleId="996" w:customStyle="1">
    <w:name w:val="目录 71"/>
    <w:basedOn w:val="748"/>
    <w:next w:val="748"/>
    <w:uiPriority w:val="0"/>
    <w:qFormat/>
    <w:pPr>
      <w:ind w:left="2520"/>
    </w:pPr>
  </w:style>
  <w:style w:type="paragraph" w:styleId="997" w:customStyle="1">
    <w:name w:val="题注1"/>
    <w:basedOn w:val="748"/>
    <w:next w:val="748"/>
    <w:uiPriority w:val="0"/>
    <w:qFormat/>
    <w:pPr>
      <w:spacing w:line="480" w:lineRule="auto"/>
    </w:pPr>
    <w:rPr>
      <w:rFonts w:ascii="华文中宋" w:hAnsi="华文中宋" w:eastAsia="华文中宋"/>
      <w:sz w:val="36"/>
      <w:szCs w:val="20"/>
    </w:rPr>
  </w:style>
  <w:style w:type="paragraph" w:styleId="998" w:customStyle="1">
    <w:name w:val="文档结构图1"/>
    <w:basedOn w:val="748"/>
    <w:link w:val="999"/>
    <w:uiPriority w:val="0"/>
    <w:qFormat/>
    <w:pPr>
      <w:shd w:val="clear" w:color="auto" w:fill="000080"/>
    </w:pPr>
  </w:style>
  <w:style w:type="character" w:styleId="999" w:customStyle="1">
    <w:name w:val="文档结构图 Char"/>
    <w:link w:val="998"/>
    <w:uiPriority w:val="0"/>
    <w:qFormat/>
    <w:rPr>
      <w:sz w:val="21"/>
      <w:szCs w:val="24"/>
      <w:shd w:val="clear" w:color="auto" w:fill="000080"/>
    </w:rPr>
  </w:style>
  <w:style w:type="paragraph" w:styleId="1000" w:customStyle="1">
    <w:name w:val="批注文字1"/>
    <w:basedOn w:val="748"/>
    <w:link w:val="1001"/>
    <w:uiPriority w:val="99"/>
    <w:qFormat/>
    <w:pPr>
      <w:jc w:val="left"/>
    </w:pPr>
  </w:style>
  <w:style w:type="character" w:styleId="1001" w:customStyle="1">
    <w:name w:val="批注文字 Char1"/>
    <w:link w:val="1000"/>
    <w:uiPriority w:val="99"/>
    <w:qFormat/>
    <w:rPr>
      <w:sz w:val="21"/>
      <w:szCs w:val="24"/>
    </w:rPr>
  </w:style>
  <w:style w:type="paragraph" w:styleId="1002" w:customStyle="1">
    <w:name w:val="正文文本 31"/>
    <w:basedOn w:val="748"/>
    <w:link w:val="1003"/>
    <w:uiPriority w:val="0"/>
    <w:qFormat/>
    <w:pPr>
      <w:spacing w:after="120"/>
    </w:pPr>
    <w:rPr>
      <w:sz w:val="16"/>
      <w:szCs w:val="16"/>
    </w:rPr>
  </w:style>
  <w:style w:type="character" w:styleId="1003" w:customStyle="1">
    <w:name w:val="正文文本 3 Char"/>
    <w:link w:val="1002"/>
    <w:uiPriority w:val="0"/>
    <w:qFormat/>
    <w:rPr>
      <w:sz w:val="16"/>
      <w:szCs w:val="16"/>
    </w:rPr>
  </w:style>
  <w:style w:type="paragraph" w:styleId="1004" w:customStyle="1">
    <w:name w:val="正文文本1"/>
    <w:basedOn w:val="748"/>
    <w:link w:val="1005"/>
    <w:uiPriority w:val="0"/>
    <w:qFormat/>
    <w:pPr>
      <w:spacing w:before="120" w:line="22" w:lineRule="atLeast"/>
      <w:tabs>
        <w:tab w:val="left" w:pos="567" w:leader="none"/>
      </w:tabs>
    </w:pPr>
    <w:rPr>
      <w:rFonts w:ascii="宋体" w:hAnsi="宋体"/>
      <w:sz w:val="24"/>
    </w:rPr>
  </w:style>
  <w:style w:type="character" w:styleId="1005" w:customStyle="1">
    <w:name w:val="正文文本 Char"/>
    <w:link w:val="1004"/>
    <w:uiPriority w:val="0"/>
    <w:qFormat/>
    <w:rPr>
      <w:rFonts w:ascii="宋体" w:hAnsi="宋体"/>
      <w:sz w:val="24"/>
      <w:szCs w:val="24"/>
    </w:rPr>
  </w:style>
  <w:style w:type="paragraph" w:styleId="1006" w:customStyle="1">
    <w:name w:val="正文文本缩进11"/>
    <w:basedOn w:val="748"/>
    <w:link w:val="1007"/>
    <w:uiPriority w:val="0"/>
    <w:qFormat/>
    <w:pPr>
      <w:ind w:firstLine="570"/>
      <w:spacing w:line="360" w:lineRule="auto"/>
    </w:pPr>
    <w:rPr>
      <w:sz w:val="24"/>
    </w:rPr>
  </w:style>
  <w:style w:type="character" w:styleId="1007" w:customStyle="1">
    <w:name w:val="正文文本缩进 Char2"/>
    <w:link w:val="1006"/>
    <w:uiPriority w:val="0"/>
    <w:qFormat/>
    <w:rPr>
      <w:rFonts w:eastAsia="宋体"/>
      <w:sz w:val="24"/>
      <w:szCs w:val="24"/>
      <w:lang w:val="en-US" w:eastAsia="zh-CN" w:bidi="ar-SA"/>
    </w:rPr>
  </w:style>
  <w:style w:type="paragraph" w:styleId="1008" w:customStyle="1">
    <w:name w:val="列表 21"/>
    <w:basedOn w:val="748"/>
    <w:uiPriority w:val="0"/>
    <w:qFormat/>
    <w:pPr>
      <w:ind w:left="100" w:hanging="200"/>
    </w:pPr>
  </w:style>
  <w:style w:type="paragraph" w:styleId="1009" w:customStyle="1">
    <w:name w:val="文本块1"/>
    <w:basedOn w:val="748"/>
    <w:uiPriority w:val="0"/>
    <w:qFormat/>
    <w:pPr>
      <w:ind w:left="480" w:right="-341" w:firstLine="513"/>
      <w:widowControl/>
    </w:pPr>
    <w:rPr>
      <w:sz w:val="24"/>
      <w:szCs w:val="20"/>
    </w:rPr>
  </w:style>
  <w:style w:type="paragraph" w:styleId="1010" w:customStyle="1">
    <w:name w:val="目录 51"/>
    <w:basedOn w:val="748"/>
    <w:next w:val="748"/>
    <w:uiPriority w:val="0"/>
    <w:qFormat/>
    <w:pPr>
      <w:ind w:left="1680"/>
    </w:pPr>
  </w:style>
  <w:style w:type="paragraph" w:styleId="1011" w:customStyle="1">
    <w:name w:val="目录 31"/>
    <w:basedOn w:val="748"/>
    <w:next w:val="748"/>
    <w:uiPriority w:val="39"/>
    <w:qFormat/>
    <w:pPr>
      <w:ind w:left="840"/>
    </w:pPr>
  </w:style>
  <w:style w:type="paragraph" w:styleId="1012" w:customStyle="1">
    <w:name w:val="纯文本1"/>
    <w:basedOn w:val="748"/>
    <w:link w:val="1013"/>
    <w:uiPriority w:val="0"/>
    <w:qFormat/>
    <w:rPr>
      <w:rFonts w:hint="eastAsia" w:ascii="宋体" w:hAnsi="Courier New"/>
      <w:szCs w:val="20"/>
    </w:rPr>
  </w:style>
  <w:style w:type="character" w:styleId="1013" w:customStyle="1">
    <w:name w:val="纯文本 Char"/>
    <w:link w:val="1012"/>
    <w:uiPriority w:val="0"/>
    <w:qFormat/>
    <w:rPr>
      <w:rFonts w:hint="eastAsia" w:ascii="宋体" w:hAnsi="Courier New" w:eastAsia="宋体" w:cs="宋体"/>
      <w:sz w:val="21"/>
    </w:rPr>
  </w:style>
  <w:style w:type="paragraph" w:styleId="1014" w:customStyle="1">
    <w:name w:val="目录 81"/>
    <w:basedOn w:val="748"/>
    <w:next w:val="748"/>
    <w:uiPriority w:val="0"/>
    <w:qFormat/>
    <w:pPr>
      <w:ind w:left="2940"/>
    </w:pPr>
  </w:style>
  <w:style w:type="paragraph" w:styleId="1015" w:customStyle="1">
    <w:name w:val="日期1"/>
    <w:basedOn w:val="748"/>
    <w:next w:val="748"/>
    <w:link w:val="1016"/>
    <w:uiPriority w:val="0"/>
    <w:qFormat/>
    <w:pPr>
      <w:ind w:left="100"/>
    </w:pPr>
    <w:rPr>
      <w:rFonts w:ascii="仿宋_GB2312" w:hAnsi="宋体" w:eastAsia="仿宋_GB2312"/>
      <w:color w:val="000000"/>
      <w:sz w:val="24"/>
    </w:rPr>
  </w:style>
  <w:style w:type="character" w:styleId="1016" w:customStyle="1">
    <w:name w:val="日期 Char"/>
    <w:link w:val="1015"/>
    <w:uiPriority w:val="0"/>
    <w:qFormat/>
    <w:rPr>
      <w:rFonts w:ascii="仿宋_GB2312" w:hAnsi="宋体" w:eastAsia="仿宋_GB2312"/>
      <w:color w:val="000000"/>
      <w:sz w:val="24"/>
      <w:szCs w:val="24"/>
    </w:rPr>
  </w:style>
  <w:style w:type="paragraph" w:styleId="1017" w:customStyle="1">
    <w:name w:val="正文文本缩进 21"/>
    <w:basedOn w:val="748"/>
    <w:link w:val="1018"/>
    <w:uiPriority w:val="0"/>
    <w:qFormat/>
    <w:pPr>
      <w:ind w:firstLine="480"/>
    </w:pPr>
    <w:rPr>
      <w:rFonts w:ascii="仿宋_GB2312" w:eastAsia="仿宋_GB2312"/>
      <w:sz w:val="24"/>
    </w:rPr>
  </w:style>
  <w:style w:type="character" w:styleId="1018" w:customStyle="1">
    <w:name w:val="正文文本缩进 2 Char"/>
    <w:link w:val="1017"/>
    <w:uiPriority w:val="0"/>
    <w:qFormat/>
    <w:rPr>
      <w:rFonts w:ascii="仿宋_GB2312" w:eastAsia="仿宋_GB2312"/>
      <w:sz w:val="24"/>
      <w:szCs w:val="24"/>
    </w:rPr>
  </w:style>
  <w:style w:type="paragraph" w:styleId="1019" w:customStyle="1">
    <w:name w:val="批注框文本1"/>
    <w:basedOn w:val="748"/>
    <w:link w:val="1020"/>
    <w:uiPriority w:val="0"/>
    <w:qFormat/>
    <w:rPr>
      <w:sz w:val="18"/>
      <w:szCs w:val="18"/>
    </w:rPr>
  </w:style>
  <w:style w:type="character" w:styleId="1020" w:customStyle="1">
    <w:name w:val="批注框文本 Char"/>
    <w:link w:val="1019"/>
    <w:uiPriority w:val="0"/>
    <w:qFormat/>
    <w:rPr>
      <w:sz w:val="18"/>
      <w:szCs w:val="18"/>
    </w:rPr>
  </w:style>
  <w:style w:type="paragraph" w:styleId="1021" w:customStyle="1">
    <w:name w:val="页脚1"/>
    <w:basedOn w:val="748"/>
    <w:link w:val="1022"/>
    <w:uiPriority w:val="99"/>
    <w:qFormat/>
    <w:pPr>
      <w:jc w:val="left"/>
      <w:tabs>
        <w:tab w:val="center" w:pos="4153" w:leader="none"/>
        <w:tab w:val="right" w:pos="8306" w:leader="none"/>
      </w:tabs>
    </w:pPr>
    <w:rPr>
      <w:rFonts w:ascii="宋体"/>
      <w:sz w:val="18"/>
      <w:szCs w:val="20"/>
    </w:rPr>
  </w:style>
  <w:style w:type="character" w:styleId="1022" w:customStyle="1">
    <w:name w:val="页脚 Char1"/>
    <w:link w:val="1021"/>
    <w:uiPriority w:val="99"/>
    <w:qFormat/>
    <w:rPr>
      <w:rFonts w:ascii="宋体" w:eastAsia="宋体"/>
      <w:sz w:val="18"/>
      <w:lang w:val="en-US" w:eastAsia="zh-CN" w:bidi="ar-SA"/>
    </w:rPr>
  </w:style>
  <w:style w:type="paragraph" w:styleId="1023" w:customStyle="1">
    <w:name w:val="页眉1"/>
    <w:basedOn w:val="748"/>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Char1"/>
    <w:link w:val="1023"/>
    <w:uiPriority w:val="0"/>
    <w:qFormat/>
    <w:rPr>
      <w:rFonts w:eastAsia="宋体"/>
      <w:sz w:val="18"/>
      <w:szCs w:val="18"/>
      <w:lang w:val="en-US" w:eastAsia="zh-CN" w:bidi="ar-SA"/>
    </w:rPr>
  </w:style>
  <w:style w:type="paragraph" w:styleId="1025" w:customStyle="1">
    <w:name w:val="目录 11"/>
    <w:basedOn w:val="748"/>
    <w:next w:val="748"/>
    <w:uiPriority w:val="39"/>
    <w:qFormat/>
    <w:pPr>
      <w:spacing w:line="300" w:lineRule="auto"/>
      <w:tabs>
        <w:tab w:val="left" w:pos="1050" w:leader="none"/>
        <w:tab w:val="right" w:pos="8937" w:leader="dot"/>
      </w:tabs>
    </w:pPr>
    <w:rPr>
      <w:rFonts w:ascii="宋体" w:hAnsi="宋体"/>
      <w:b/>
      <w:sz w:val="24"/>
    </w:rPr>
  </w:style>
  <w:style w:type="paragraph" w:styleId="1026" w:customStyle="1">
    <w:name w:val="目录 41"/>
    <w:basedOn w:val="748"/>
    <w:next w:val="748"/>
    <w:uiPriority w:val="0"/>
    <w:qFormat/>
    <w:pPr>
      <w:ind w:left="1260"/>
    </w:pPr>
  </w:style>
  <w:style w:type="paragraph" w:styleId="1027" w:customStyle="1">
    <w:name w:val="目录 61"/>
    <w:basedOn w:val="748"/>
    <w:next w:val="748"/>
    <w:uiPriority w:val="0"/>
    <w:qFormat/>
    <w:pPr>
      <w:ind w:left="2100"/>
    </w:pPr>
  </w:style>
  <w:style w:type="paragraph" w:styleId="1028" w:customStyle="1">
    <w:name w:val="正文文本缩进 31"/>
    <w:basedOn w:val="748"/>
    <w:link w:val="1029"/>
    <w:uiPriority w:val="0"/>
    <w:qFormat/>
    <w:pPr>
      <w:ind w:left="720" w:firstLine="480"/>
      <w:jc w:val="left"/>
      <w:spacing w:before="120" w:line="22" w:lineRule="atLeast"/>
    </w:pPr>
    <w:rPr>
      <w:rFonts w:ascii="宋体"/>
      <w:sz w:val="24"/>
      <w:szCs w:val="20"/>
    </w:rPr>
  </w:style>
  <w:style w:type="character" w:styleId="1029" w:customStyle="1">
    <w:name w:val="正文文本缩进 3 Char"/>
    <w:link w:val="1028"/>
    <w:uiPriority w:val="0"/>
    <w:qFormat/>
    <w:rPr>
      <w:rFonts w:ascii="宋体"/>
      <w:sz w:val="24"/>
    </w:rPr>
  </w:style>
  <w:style w:type="paragraph" w:styleId="1030" w:customStyle="1">
    <w:name w:val="目录 21"/>
    <w:basedOn w:val="748"/>
    <w:next w:val="748"/>
    <w:uiPriority w:val="39"/>
    <w:qFormat/>
    <w:pPr>
      <w:ind w:left="420"/>
      <w:spacing w:line="312" w:lineRule="auto"/>
      <w:tabs>
        <w:tab w:val="right" w:pos="8937" w:leader="dot"/>
      </w:tabs>
    </w:pPr>
  </w:style>
  <w:style w:type="paragraph" w:styleId="1031" w:customStyle="1">
    <w:name w:val="目录 91"/>
    <w:basedOn w:val="748"/>
    <w:next w:val="748"/>
    <w:uiPriority w:val="0"/>
    <w:qFormat/>
    <w:pPr>
      <w:ind w:left="3360"/>
    </w:pPr>
  </w:style>
  <w:style w:type="paragraph" w:styleId="1032" w:customStyle="1">
    <w:name w:val="HTML 预设格式1"/>
    <w:basedOn w:val="748"/>
    <w:link w:val="10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3" w:customStyle="1">
    <w:name w:val="HTML 预设格式 Char"/>
    <w:link w:val="1032"/>
    <w:uiPriority w:val="0"/>
    <w:qFormat/>
    <w:rPr>
      <w:rFonts w:ascii="宋体" w:hAnsi="宋体" w:cs="宋体"/>
      <w:sz w:val="24"/>
      <w:szCs w:val="24"/>
    </w:rPr>
  </w:style>
  <w:style w:type="paragraph" w:styleId="1034" w:customStyle="1">
    <w:name w:val="普通(网站)1"/>
    <w:basedOn w:val="748"/>
    <w:uiPriority w:val="99"/>
    <w:unhideWhenUsed/>
    <w:qFormat/>
    <w:pPr>
      <w:jc w:val="left"/>
      <w:spacing w:before="100" w:beforeAutospacing="1" w:after="100" w:afterAutospacing="1"/>
      <w:widowControl/>
    </w:pPr>
    <w:rPr>
      <w:rFonts w:ascii="宋体" w:hAnsi="宋体" w:cs="宋体"/>
      <w:sz w:val="24"/>
    </w:rPr>
  </w:style>
  <w:style w:type="paragraph" w:styleId="1035" w:customStyle="1">
    <w:name w:val="索引 11"/>
    <w:basedOn w:val="748"/>
    <w:next w:val="748"/>
    <w:uiPriority w:val="0"/>
    <w:qFormat/>
    <w:rPr>
      <w:szCs w:val="20"/>
    </w:rPr>
  </w:style>
  <w:style w:type="paragraph" w:styleId="1036" w:customStyle="1">
    <w:name w:val="标题1"/>
    <w:basedOn w:val="748"/>
    <w:link w:val="1037"/>
    <w:uiPriority w:val="0"/>
    <w:qFormat/>
    <w:pPr>
      <w:jc w:val="center"/>
      <w:outlineLvl w:val="0"/>
    </w:pPr>
    <w:rPr>
      <w:b/>
      <w:sz w:val="32"/>
      <w:szCs w:val="20"/>
    </w:rPr>
  </w:style>
  <w:style w:type="character" w:styleId="1037" w:customStyle="1">
    <w:name w:val="标题 Char1"/>
    <w:link w:val="1036"/>
    <w:uiPriority w:val="0"/>
    <w:qFormat/>
    <w:rPr>
      <w:b/>
      <w:sz w:val="32"/>
    </w:rPr>
  </w:style>
  <w:style w:type="paragraph" w:styleId="1038" w:customStyle="1">
    <w:name w:val="批注主题1"/>
    <w:basedOn w:val="1000"/>
    <w:next w:val="1000"/>
    <w:link w:val="1039"/>
    <w:uiPriority w:val="0"/>
    <w:qFormat/>
    <w:rPr>
      <w:b/>
      <w:bCs/>
    </w:rPr>
  </w:style>
  <w:style w:type="character" w:styleId="1039" w:customStyle="1">
    <w:name w:val="批注主题 Char"/>
    <w:link w:val="1038"/>
    <w:uiPriority w:val="0"/>
    <w:qFormat/>
    <w:rPr>
      <w:rFonts w:ascii="Times New Roman" w:hAnsi="Times New Roman" w:eastAsia="宋体" w:cs="Times New Roman"/>
      <w:b/>
      <w:bCs/>
      <w:sz w:val="21"/>
      <w:szCs w:val="24"/>
      <w:lang w:val="en-US" w:eastAsia="zh-CN" w:bidi="ar-SA"/>
    </w:rPr>
  </w:style>
  <w:style w:type="paragraph" w:styleId="1040" w:customStyle="1">
    <w:name w:val="正文首行缩进1"/>
    <w:basedOn w:val="748"/>
    <w:uiPriority w:val="0"/>
    <w:qFormat/>
    <w:pPr>
      <w:ind w:firstLine="420"/>
    </w:pPr>
    <w:rPr>
      <w:szCs w:val="20"/>
    </w:rPr>
  </w:style>
  <w:style w:type="paragraph" w:styleId="1041" w:customStyle="1">
    <w:name w:val="正文首行缩进 21"/>
    <w:basedOn w:val="1006"/>
    <w:link w:val="1042"/>
    <w:uiPriority w:val="0"/>
    <w:qFormat/>
    <w:pPr>
      <w:ind w:left="420" w:firstLine="420"/>
      <w:spacing w:after="120" w:line="480" w:lineRule="exact"/>
    </w:pPr>
  </w:style>
  <w:style w:type="character" w:styleId="1042" w:customStyle="1">
    <w:name w:val="正文首行缩进 2 Char"/>
    <w:link w:val="1041"/>
    <w:uiPriority w:val="0"/>
    <w:qFormat/>
    <w:rPr>
      <w:rFonts w:eastAsia="宋体"/>
      <w:sz w:val="24"/>
      <w:szCs w:val="24"/>
      <w:lang w:val="en-US" w:eastAsia="zh-CN" w:bidi="ar-SA"/>
    </w:rPr>
  </w:style>
  <w:style w:type="table" w:styleId="1043" w:customStyle="1">
    <w:name w:val="网格型1"/>
    <w:basedOn w:val="985"/>
    <w:uiPriority w:val="0"/>
    <w:qFormat/>
    <w:tblPr/>
  </w:style>
  <w:style w:type="table" w:styleId="1044" w:customStyle="1">
    <w:name w:val="中等深浅网格 1 - 强调文字颜色 21"/>
    <w:basedOn w:val="985"/>
    <w:uiPriority w:val="0"/>
    <w:qFormat/>
    <w:rPr>
      <w:sz w:val="21"/>
      <w:szCs w:val="24"/>
    </w:rPr>
    <w:tblPr/>
  </w:style>
  <w:style w:type="character" w:styleId="1045" w:customStyle="1">
    <w:name w:val="要点1"/>
    <w:uiPriority w:val="0"/>
    <w:qFormat/>
    <w:rPr>
      <w:b/>
      <w:bCs/>
    </w:rPr>
  </w:style>
  <w:style w:type="character" w:styleId="1046" w:customStyle="1">
    <w:name w:val="页码1"/>
    <w:uiPriority w:val="0"/>
    <w:qFormat/>
  </w:style>
  <w:style w:type="character" w:styleId="1047" w:customStyle="1">
    <w:name w:val="已访问的超链接1"/>
    <w:uiPriority w:val="0"/>
    <w:qFormat/>
    <w:rPr>
      <w:color w:val="800080"/>
      <w:u w:val="single"/>
    </w:rPr>
  </w:style>
  <w:style w:type="character" w:styleId="1048" w:customStyle="1">
    <w:name w:val="强调1"/>
    <w:uiPriority w:val="0"/>
    <w:qFormat/>
    <w:rPr>
      <w:color w:val="cc0033"/>
    </w:rPr>
  </w:style>
  <w:style w:type="character" w:styleId="1049" w:customStyle="1">
    <w:name w:val="超链接1"/>
    <w:uiPriority w:val="99"/>
    <w:qFormat/>
    <w:rPr>
      <w:color w:val="0000ff"/>
      <w:u w:val="single"/>
    </w:rPr>
  </w:style>
  <w:style w:type="character" w:styleId="1050" w:customStyle="1">
    <w:name w:val="批注引用1"/>
    <w:uiPriority w:val="99"/>
    <w:qFormat/>
    <w:rPr>
      <w:sz w:val="21"/>
      <w:szCs w:val="21"/>
    </w:rPr>
  </w:style>
  <w:style w:type="character" w:styleId="1051" w:customStyle="1">
    <w:name w:val="HTML 引文1"/>
    <w:uiPriority w:val="0"/>
    <w:qFormat/>
    <w:rPr>
      <w:i/>
      <w:iCs/>
    </w:rPr>
  </w:style>
  <w:style w:type="paragraph" w:styleId="1052" w:customStyle="1">
    <w:name w:val="段"/>
    <w:next w:val="748"/>
    <w:uiPriority w:val="0"/>
    <w:qFormat/>
    <w:pPr>
      <w:ind w:firstLine="200"/>
      <w:jc w:val="both"/>
    </w:pPr>
    <w:rPr>
      <w:rFonts w:hint="default" w:ascii="宋体" w:hAnsi="Times New Roman" w:eastAsia="Times New Roman" w:cs="Times New Roman"/>
      <w:sz w:val="21"/>
      <w:lang w:val="en-US" w:eastAsia="zh-CN" w:bidi="ar-SA"/>
    </w:rPr>
  </w:style>
  <w:style w:type="character" w:styleId="1053" w:customStyle="1">
    <w:name w:val="批注文字 字符"/>
    <w:uiPriority w:val="99"/>
    <w:qFormat/>
    <w:rPr>
      <w:rFonts w:ascii="Times New Roman" w:hAnsi="Times New Roman" w:eastAsia="宋体" w:cs="Times New Roman"/>
      <w:sz w:val="24"/>
      <w:lang w:val="en-US" w:eastAsia="zh-CN" w:bidi="ar-SA"/>
    </w:rPr>
  </w:style>
  <w:style w:type="character" w:styleId="1054" w:customStyle="1">
    <w:name w:val="c21"/>
    <w:uiPriority w:val="0"/>
    <w:qFormat/>
    <w:rPr>
      <w:rFonts w:ascii="ˎ̥" w:hAnsi="ˎ̥"/>
      <w:color w:val="000000"/>
      <w:sz w:val="20"/>
      <w:szCs w:val="20"/>
      <w:u w:val="none"/>
    </w:rPr>
  </w:style>
  <w:style w:type="character" w:styleId="1055" w:customStyle="1">
    <w:name w:val="title4"/>
    <w:uiPriority w:val="0"/>
    <w:qFormat/>
    <w:rPr>
      <w:b/>
      <w:bCs/>
      <w:color w:val="1d87b3"/>
      <w:sz w:val="15"/>
      <w:szCs w:val="15"/>
    </w:rPr>
  </w:style>
  <w:style w:type="character" w:styleId="1056" w:customStyle="1">
    <w:name w:val="标题 2 Char Char"/>
    <w:uiPriority w:val="0"/>
    <w:qFormat/>
    <w:rPr>
      <w:rFonts w:ascii="Arial" w:hAnsi="Arial" w:eastAsia="黑体"/>
      <w:b/>
      <w:bCs/>
      <w:sz w:val="32"/>
      <w:szCs w:val="32"/>
      <w:lang w:val="en-US" w:eastAsia="zh-CN" w:bidi="ar-SA"/>
    </w:rPr>
  </w:style>
  <w:style w:type="character" w:styleId="1057" w:customStyle="1">
    <w:name w:val="black1"/>
    <w:uiPriority w:val="0"/>
    <w:qFormat/>
    <w:rPr>
      <w:color w:val="000000"/>
    </w:rPr>
  </w:style>
  <w:style w:type="character" w:styleId="1058" w:customStyle="1">
    <w:name w:val="street-address"/>
    <w:uiPriority w:val="0"/>
    <w:qFormat/>
  </w:style>
  <w:style w:type="character" w:styleId="1059" w:customStyle="1">
    <w:name w:val="locality"/>
    <w:uiPriority w:val="0"/>
    <w:qFormat/>
  </w:style>
  <w:style w:type="character" w:styleId="1060" w:customStyle="1">
    <w:name w:val="正文文本缩进 Char1"/>
    <w:link w:val="1061"/>
    <w:uiPriority w:val="0"/>
    <w:qFormat/>
    <w:rPr>
      <w:rFonts w:ascii="宋体" w:hAnsi="宋体" w:eastAsia="宋体"/>
      <w:sz w:val="24"/>
      <w:szCs w:val="24"/>
      <w:lang w:bidi="ar-SA"/>
    </w:rPr>
  </w:style>
  <w:style w:type="paragraph" w:styleId="1061" w:customStyle="1">
    <w:name w:val="正文文本缩进1"/>
    <w:basedOn w:val="748"/>
    <w:link w:val="1060"/>
    <w:uiPriority w:val="0"/>
    <w:qFormat/>
    <w:pPr>
      <w:ind w:firstLine="480"/>
      <w:spacing w:line="480" w:lineRule="exact"/>
    </w:pPr>
    <w:rPr>
      <w:rFonts w:ascii="宋体" w:hAnsi="宋体"/>
      <w:sz w:val="24"/>
    </w:rPr>
  </w:style>
  <w:style w:type="character" w:styleId="1062" w:customStyle="1">
    <w:name w:val="Char Char11"/>
    <w:uiPriority w:val="0"/>
    <w:qFormat/>
    <w:rPr>
      <w:rFonts w:ascii="宋体" w:eastAsia="宋体"/>
      <w:b/>
      <w:sz w:val="24"/>
      <w:u w:val="single"/>
      <w:lang w:val="en-US" w:eastAsia="zh-CN" w:bidi="ar-SA"/>
    </w:rPr>
  </w:style>
  <w:style w:type="character" w:styleId="1063" w:customStyle="1">
    <w:name w:val="txt"/>
    <w:uiPriority w:val="0"/>
    <w:qFormat/>
  </w:style>
  <w:style w:type="character" w:styleId="1064" w:customStyle="1">
    <w:name w:val="正文缩进 Char Char"/>
    <w:link w:val="1065"/>
    <w:uiPriority w:val="0"/>
    <w:qFormat/>
    <w:rPr>
      <w:rFonts w:ascii="宋体" w:eastAsia="宋体"/>
      <w:color w:val="000000"/>
      <w:sz w:val="28"/>
      <w:lang w:bidi="ar-SA"/>
    </w:rPr>
  </w:style>
  <w:style w:type="paragraph" w:styleId="1065" w:customStyle="1">
    <w:name w:val="正文缩进1"/>
    <w:basedOn w:val="748"/>
    <w:link w:val="1064"/>
    <w:uiPriority w:val="0"/>
    <w:qFormat/>
    <w:pPr>
      <w:ind w:firstLine="567"/>
      <w:spacing w:line="480" w:lineRule="exact"/>
      <w:widowControl/>
    </w:pPr>
    <w:rPr>
      <w:rFonts w:ascii="宋体"/>
      <w:color w:val="000000"/>
      <w:sz w:val="28"/>
      <w:szCs w:val="20"/>
    </w:rPr>
  </w:style>
  <w:style w:type="character" w:styleId="1066" w:customStyle="1">
    <w:name w:val="普通文字1 Char1"/>
    <w:uiPriority w:val="0"/>
    <w:qFormat/>
    <w:rPr>
      <w:rFonts w:ascii="宋体" w:hAnsi="Courier New" w:eastAsia="宋体"/>
      <w:sz w:val="21"/>
      <w:lang w:val="en-US" w:eastAsia="zh-CN" w:bidi="ar-SA"/>
    </w:rPr>
  </w:style>
  <w:style w:type="character" w:styleId="1067" w:customStyle="1">
    <w:name w:val="chanpin1"/>
    <w:uiPriority w:val="0"/>
    <w:qFormat/>
    <w:rPr>
      <w:rFonts w:ascii="ˎ̥" w:hAnsi="ˎ̥"/>
      <w:color w:val="000000"/>
      <w:sz w:val="20"/>
      <w:szCs w:val="20"/>
      <w:u w:val="none"/>
    </w:rPr>
  </w:style>
  <w:style w:type="character" w:styleId="1068" w:customStyle="1">
    <w:name w:val="列出段落 Char1"/>
    <w:link w:val="1069"/>
    <w:uiPriority w:val="34"/>
    <w:qFormat/>
    <w:rPr>
      <w:rFonts w:ascii="Calibri" w:hAnsi="Calibri" w:eastAsia="宋体"/>
      <w:sz w:val="21"/>
      <w:szCs w:val="22"/>
      <w:lang w:val="en-US" w:eastAsia="zh-CN" w:bidi="ar-SA"/>
    </w:rPr>
  </w:style>
  <w:style w:type="paragraph" w:styleId="1069" w:customStyle="1">
    <w:name w:val="列出段落"/>
    <w:basedOn w:val="748"/>
    <w:link w:val="1068"/>
    <w:uiPriority w:val="34"/>
    <w:qFormat/>
    <w:pPr>
      <w:ind w:firstLine="420"/>
    </w:pPr>
    <w:rPr>
      <w:rFonts w:ascii="Calibri" w:hAnsi="Calibri"/>
      <w:szCs w:val="22"/>
    </w:rPr>
  </w:style>
  <w:style w:type="character" w:styleId="1070" w:customStyle="1">
    <w:name w:val="标题 3 Char Char"/>
    <w:uiPriority w:val="0"/>
    <w:qFormat/>
    <w:rPr>
      <w:rFonts w:eastAsia="宋体"/>
      <w:b/>
      <w:bCs/>
      <w:sz w:val="32"/>
      <w:szCs w:val="32"/>
      <w:lang w:val="en-US" w:eastAsia="zh-CN" w:bidi="ar-SA"/>
    </w:rPr>
  </w:style>
  <w:style w:type="character" w:styleId="1071" w:customStyle="1">
    <w:name w:val="段1 Char"/>
    <w:uiPriority w:val="0"/>
    <w:qFormat/>
    <w:rPr>
      <w:rFonts w:ascii="宋体" w:eastAsia="宋体"/>
      <w:sz w:val="24"/>
      <w:lang w:val="en-US" w:eastAsia="zh-CN" w:bidi="ar-SA"/>
    </w:rPr>
  </w:style>
  <w:style w:type="character" w:styleId="1072" w:customStyle="1">
    <w:name w:val="chanpin拷贝"/>
    <w:uiPriority w:val="0"/>
    <w:qFormat/>
  </w:style>
  <w:style w:type="character" w:styleId="1073" w:customStyle="1">
    <w:name w:val="纯文本 Char1"/>
    <w:uiPriority w:val="0"/>
    <w:qFormat/>
    <w:rPr>
      <w:rFonts w:ascii="宋体" w:hAnsi="Courier New" w:eastAsia="宋体"/>
      <w:sz w:val="21"/>
      <w:lang w:val="en-US" w:eastAsia="zh-CN" w:bidi="ar-SA"/>
    </w:rPr>
  </w:style>
  <w:style w:type="character" w:styleId="1074" w:customStyle="1">
    <w:name w:val="apple-style-span"/>
    <w:uiPriority w:val="0"/>
    <w:qFormat/>
    <w:rPr>
      <w:rFonts w:cs="Times New Roman"/>
    </w:rPr>
  </w:style>
  <w:style w:type="paragraph" w:styleId="1075" w:customStyle="1">
    <w:name w:val="二级条标题"/>
    <w:basedOn w:val="1076"/>
    <w:next w:val="74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6" w:customStyle="1">
    <w:name w:val="一级条标题"/>
    <w:basedOn w:val="1077"/>
    <w:next w:val="748"/>
    <w:uiPriority w:val="0"/>
    <w:qFormat/>
    <w:pPr>
      <w:numPr>
        <w:ilvl w:val="1"/>
      </w:numPr>
      <w:ind w:left="0" w:hanging="840"/>
      <w:tabs>
        <w:tab w:val="left" w:pos="360" w:leader="none"/>
        <w:tab w:val="left" w:pos="840" w:leader="none"/>
      </w:tabs>
      <w:outlineLvl w:val="1"/>
    </w:pPr>
  </w:style>
  <w:style w:type="paragraph" w:styleId="1077" w:customStyle="1">
    <w:name w:val="章标题"/>
    <w:next w:val="74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78" w:customStyle="1">
    <w:name w:val="font7"/>
    <w:basedOn w:val="748"/>
    <w:uiPriority w:val="0"/>
    <w:qFormat/>
    <w:pPr>
      <w:jc w:val="left"/>
      <w:spacing w:before="100" w:beforeAutospacing="1" w:after="100" w:afterAutospacing="1"/>
      <w:widowControl/>
    </w:pPr>
    <w:rPr>
      <w:rFonts w:eastAsia="Arial Unicode MS"/>
      <w:b/>
      <w:bCs/>
      <w:color w:val="000000"/>
      <w:sz w:val="20"/>
      <w:szCs w:val="20"/>
    </w:rPr>
  </w:style>
  <w:style w:type="paragraph" w:styleId="1079" w:customStyle="1">
    <w:name w:val="字元 字元"/>
    <w:basedOn w:val="748"/>
    <w:uiPriority w:val="0"/>
    <w:qFormat/>
    <w:rPr>
      <w:rFonts w:ascii="Tahoma" w:hAnsi="Tahoma"/>
      <w:sz w:val="24"/>
      <w:szCs w:val="20"/>
    </w:rPr>
  </w:style>
  <w:style w:type="paragraph" w:styleId="1080" w:customStyle="1">
    <w:name w:val="Char3 Char Char Char"/>
    <w:basedOn w:val="748"/>
    <w:uiPriority w:val="0"/>
    <w:qFormat/>
    <w:rPr>
      <w:rFonts w:ascii="Tahoma" w:hAnsi="Tahoma"/>
      <w:sz w:val="24"/>
      <w:szCs w:val="20"/>
    </w:rPr>
  </w:style>
  <w:style w:type="paragraph" w:styleId="1081" w:customStyle="1">
    <w:name w:val="font6"/>
    <w:basedOn w:val="748"/>
    <w:uiPriority w:val="0"/>
    <w:qFormat/>
    <w:pPr>
      <w:jc w:val="left"/>
      <w:spacing w:before="100" w:beforeAutospacing="1" w:after="100" w:afterAutospacing="1"/>
      <w:widowControl/>
    </w:pPr>
    <w:rPr>
      <w:rFonts w:ascii="宋体" w:hAnsi="宋体" w:cs="宋体"/>
      <w:sz w:val="20"/>
      <w:szCs w:val="20"/>
    </w:rPr>
  </w:style>
  <w:style w:type="paragraph" w:styleId="1082" w:customStyle="1">
    <w:name w:val="项目编号2"/>
    <w:basedOn w:val="1083"/>
    <w:uiPriority w:val="0"/>
    <w:qFormat/>
    <w:pPr>
      <w:numPr>
        <w:numId w:val="2"/>
      </w:numPr>
    </w:pPr>
  </w:style>
  <w:style w:type="paragraph" w:styleId="1083" w:customStyle="1">
    <w:name w:val="项目编号1"/>
    <w:basedOn w:val="748"/>
    <w:uiPriority w:val="0"/>
    <w:qFormat/>
    <w:pPr>
      <w:numPr>
        <w:ilvl w:val="0"/>
        <w:numId w:val="3"/>
      </w:numPr>
      <w:spacing w:before="100" w:beforeAutospacing="1" w:after="100" w:afterAutospacing="1" w:line="360" w:lineRule="auto"/>
    </w:pPr>
    <w:rPr>
      <w:sz w:val="24"/>
    </w:rPr>
  </w:style>
  <w:style w:type="paragraph" w:styleId="1084" w:customStyle="1">
    <w:name w:val="图中文字"/>
    <w:basedOn w:val="748"/>
    <w:uiPriority w:val="0"/>
    <w:qFormat/>
    <w:pPr>
      <w:jc w:val="center"/>
      <w:spacing w:line="0" w:lineRule="atLeast"/>
    </w:pPr>
    <w:rPr>
      <w:sz w:val="24"/>
      <w:szCs w:val="20"/>
    </w:rPr>
  </w:style>
  <w:style w:type="paragraph" w:styleId="1085" w:customStyle="1">
    <w:name w:val="xl46"/>
    <w:basedOn w:val="74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6" w:customStyle="1">
    <w:name w:val="xl2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customStyle="1">
    <w:name w:val="Char2"/>
    <w:basedOn w:val="748"/>
    <w:uiPriority w:val="0"/>
    <w:qFormat/>
    <w:rPr>
      <w:rFonts w:ascii="Tahoma" w:hAnsi="Tahoma"/>
      <w:sz w:val="24"/>
      <w:szCs w:val="20"/>
    </w:rPr>
  </w:style>
  <w:style w:type="paragraph" w:styleId="1088" w:customStyle="1">
    <w:name w:val="xl35"/>
    <w:basedOn w:val="74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xl4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xl52"/>
    <w:basedOn w:val="7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1" w:customStyle="1">
    <w:name w:val="xl43"/>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2" w:customStyle="1">
    <w:name w:val="background1"/>
    <w:basedOn w:val="748"/>
    <w:uiPriority w:val="0"/>
    <w:qFormat/>
    <w:pPr>
      <w:jc w:val="left"/>
      <w:spacing w:before="100" w:beforeAutospacing="1" w:after="100" w:afterAutospacing="1"/>
      <w:widowControl/>
    </w:pPr>
    <w:rPr>
      <w:rFonts w:ascii="宋体" w:hAnsi="宋体" w:cs="宋体"/>
      <w:sz w:val="24"/>
    </w:rPr>
  </w:style>
  <w:style w:type="paragraph" w:styleId="1093" w:customStyle="1">
    <w:name w:val="Char Char Char Char Char Char Char"/>
    <w:basedOn w:val="748"/>
    <w:uiPriority w:val="0"/>
    <w:qFormat/>
    <w:pPr>
      <w:ind w:firstLine="200"/>
      <w:spacing w:line="360" w:lineRule="auto"/>
    </w:pPr>
    <w:rPr>
      <w:rFonts w:eastAsia="仿宋_GB2312"/>
      <w:sz w:val="24"/>
    </w:rPr>
  </w:style>
  <w:style w:type="paragraph" w:styleId="1094" w:customStyle="1">
    <w:name w:val="xl3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5" w:customStyle="1">
    <w:name w:val="xl36"/>
    <w:basedOn w:val="74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6" w:customStyle="1">
    <w:name w:val="正文 + 宋体"/>
    <w:basedOn w:val="748"/>
    <w:uiPriority w:val="0"/>
    <w:qFormat/>
    <w:pPr>
      <w:ind w:left="360" w:hanging="360"/>
      <w:jc w:val="left"/>
      <w:widowControl/>
    </w:pPr>
    <w:rPr>
      <w:rFonts w:ascii="宋体" w:hAnsi="宋体" w:cs="宋体"/>
      <w:b/>
      <w:bCs/>
      <w:color w:val="000000"/>
      <w:sz w:val="18"/>
      <w:szCs w:val="18"/>
    </w:rPr>
  </w:style>
  <w:style w:type="paragraph" w:styleId="1097" w:customStyle="1">
    <w:name w:val="正文列项_数字"/>
    <w:basedOn w:val="74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98" w:customStyle="1">
    <w:name w:val="xl3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9" w:customStyle="1">
    <w:name w:val="xl37"/>
    <w:basedOn w:val="74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0" w:customStyle="1">
    <w:name w:val="xl32"/>
    <w:basedOn w:val="7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1" w:customStyle="1">
    <w:name w:val="font8"/>
    <w:basedOn w:val="748"/>
    <w:uiPriority w:val="0"/>
    <w:qFormat/>
    <w:pPr>
      <w:jc w:val="left"/>
      <w:spacing w:before="100" w:beforeAutospacing="1" w:after="100" w:afterAutospacing="1"/>
      <w:widowControl/>
    </w:pPr>
    <w:rPr>
      <w:sz w:val="36"/>
      <w:szCs w:val="36"/>
    </w:rPr>
  </w:style>
  <w:style w:type="paragraph" w:styleId="1102" w:customStyle="1">
    <w:name w:val="Char"/>
    <w:basedOn w:val="748"/>
    <w:uiPriority w:val="0"/>
    <w:qFormat/>
    <w:pPr>
      <w:tabs>
        <w:tab w:val="left" w:pos="360" w:leader="none"/>
      </w:tabs>
    </w:pPr>
    <w:rPr>
      <w:sz w:val="24"/>
    </w:rPr>
  </w:style>
  <w:style w:type="paragraph" w:styleId="1103" w:customStyle="1">
    <w:name w:val="Char Char Char Char Char Char Char Char Char Char Char Char Char Char Char Char"/>
    <w:basedOn w:val="748"/>
    <w:uiPriority w:val="0"/>
    <w:qFormat/>
    <w:pPr>
      <w:jc w:val="center"/>
      <w:spacing w:after="160" w:line="240" w:lineRule="exact"/>
      <w:widowControl/>
    </w:pPr>
    <w:rPr>
      <w:rFonts w:ascii="宋体" w:hAnsi="宋体"/>
      <w:b/>
      <w:sz w:val="30"/>
      <w:szCs w:val="30"/>
      <w:lang w:eastAsia="en-US"/>
    </w:rPr>
  </w:style>
  <w:style w:type="paragraph" w:styleId="1104" w:customStyle="1">
    <w:name w:val="xl4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5" w:customStyle="1">
    <w:name w:val="Char Char1 Char Char Char Char Char Char"/>
    <w:basedOn w:val="748"/>
    <w:uiPriority w:val="0"/>
    <w:qFormat/>
    <w:pPr>
      <w:jc w:val="left"/>
      <w:spacing w:after="160" w:line="240" w:lineRule="exact"/>
      <w:widowControl/>
    </w:pPr>
    <w:rPr>
      <w:rFonts w:ascii="Verdana" w:hAnsi="Verdana" w:eastAsia="仿宋_GB2312"/>
      <w:sz w:val="24"/>
      <w:szCs w:val="20"/>
      <w:lang w:eastAsia="en-US"/>
    </w:rPr>
  </w:style>
  <w:style w:type="paragraph" w:styleId="1106" w:customStyle="1">
    <w:name w:val="Char Char1"/>
    <w:basedOn w:val="998"/>
    <w:uiPriority w:val="0"/>
    <w:qFormat/>
    <w:rPr>
      <w:rFonts w:ascii="Tahoma" w:hAnsi="Tahoma"/>
      <w:sz w:val="24"/>
    </w:rPr>
  </w:style>
  <w:style w:type="paragraph" w:styleId="1107"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8"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9" w:customStyle="1">
    <w:name w:val="xl41"/>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0" w:customStyle="1">
    <w:name w:val="样式 宋体 五号 行距: 单倍行距"/>
    <w:basedOn w:val="748"/>
    <w:uiPriority w:val="0"/>
    <w:qFormat/>
    <w:pPr>
      <w:jc w:val="left"/>
    </w:pPr>
    <w:rPr>
      <w:rFonts w:ascii="宋体" w:hAnsi="宋体"/>
      <w:szCs w:val="20"/>
    </w:rPr>
  </w:style>
  <w:style w:type="paragraph" w:styleId="1111" w:customStyle="1">
    <w:name w:val="Char1 Char Char Char1"/>
    <w:basedOn w:val="748"/>
    <w:uiPriority w:val="0"/>
    <w:qFormat/>
    <w:rPr>
      <w:rFonts w:ascii="Tahoma" w:hAnsi="Tahoma" w:cs="仿宋_GB2312"/>
      <w:sz w:val="24"/>
      <w:szCs w:val="28"/>
    </w:rPr>
  </w:style>
  <w:style w:type="paragraph" w:styleId="1112" w:customStyle="1">
    <w:name w:val="四级条标题"/>
    <w:basedOn w:val="1113"/>
    <w:next w:val="748"/>
    <w:uiPriority w:val="0"/>
    <w:qFormat/>
    <w:pPr>
      <w:numPr>
        <w:ilvl w:val="4"/>
      </w:numPr>
      <w:ind w:left="0" w:hanging="840"/>
      <w:tabs>
        <w:tab w:val="left" w:pos="360" w:leader="none"/>
        <w:tab w:val="left" w:pos="840" w:leader="none"/>
      </w:tabs>
      <w:outlineLvl w:val="4"/>
    </w:pPr>
  </w:style>
  <w:style w:type="paragraph" w:styleId="1113" w:customStyle="1">
    <w:name w:val="三级条标题"/>
    <w:basedOn w:val="1075"/>
    <w:next w:val="748"/>
    <w:uiPriority w:val="0"/>
    <w:qFormat/>
    <w:pPr>
      <w:numPr>
        <w:ilvl w:val="3"/>
        <w:numId w:val="1"/>
      </w:numPr>
      <w:ind w:left="0" w:hanging="840"/>
      <w:outlineLvl w:val="3"/>
    </w:pPr>
  </w:style>
  <w:style w:type="paragraph" w:styleId="111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15" w:customStyle="1">
    <w:name w:val="样式 标题 2 + 宋体 五号 行距: 单倍行距"/>
    <w:basedOn w:val="975"/>
    <w:uiPriority w:val="0"/>
    <w:qFormat/>
    <w:pPr>
      <w:numPr>
        <w:ilvl w:val="1"/>
        <w:numId w:val="4"/>
      </w:numPr>
      <w:jc w:val="left"/>
      <w:spacing w:before="260" w:after="260" w:line="240" w:lineRule="auto"/>
    </w:pPr>
    <w:rPr>
      <w:rFonts w:ascii="宋体" w:hAnsi="宋体" w:eastAsia="宋体"/>
      <w:bCs/>
      <w:sz w:val="21"/>
    </w:rPr>
  </w:style>
  <w:style w:type="paragraph" w:styleId="1116" w:customStyle="1">
    <w:name w:val="List Paragraph1"/>
    <w:basedOn w:val="748"/>
    <w:uiPriority w:val="0"/>
    <w:qFormat/>
    <w:pPr>
      <w:ind w:firstLine="420"/>
    </w:pPr>
    <w:rPr>
      <w:rFonts w:ascii="Calibri" w:hAnsi="Calibri"/>
      <w:szCs w:val="22"/>
    </w:rPr>
  </w:style>
  <w:style w:type="paragraph" w:styleId="1117" w:customStyle="1">
    <w:name w:val="项目符号1"/>
    <w:basedOn w:val="1118"/>
    <w:uiPriority w:val="0"/>
    <w:qFormat/>
    <w:pPr>
      <w:ind w:left="-25" w:firstLine="0"/>
    </w:pPr>
  </w:style>
  <w:style w:type="paragraph" w:styleId="1118" w:customStyle="1">
    <w:name w:val="正文文本样式"/>
    <w:basedOn w:val="748"/>
    <w:uiPriority w:val="0"/>
    <w:qFormat/>
    <w:pPr>
      <w:ind w:firstLine="482"/>
      <w:spacing w:line="360" w:lineRule="auto"/>
    </w:pPr>
    <w:rPr>
      <w:rFonts w:cs="宋体"/>
      <w:sz w:val="24"/>
      <w:szCs w:val="20"/>
    </w:rPr>
  </w:style>
  <w:style w:type="paragraph" w:styleId="1119" w:customStyle="1">
    <w:name w:val="xl27"/>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0" w:customStyle="1">
    <w:name w:val="font5"/>
    <w:basedOn w:val="748"/>
    <w:uiPriority w:val="0"/>
    <w:qFormat/>
    <w:pPr>
      <w:jc w:val="left"/>
      <w:spacing w:before="100" w:beforeAutospacing="1" w:after="100" w:afterAutospacing="1"/>
      <w:widowControl/>
    </w:pPr>
    <w:rPr>
      <w:rFonts w:ascii="宋体" w:hAnsi="宋体" w:cs="宋体"/>
      <w:sz w:val="18"/>
      <w:szCs w:val="18"/>
    </w:rPr>
  </w:style>
  <w:style w:type="paragraph" w:styleId="1121" w:customStyle="1">
    <w:name w:val="五级条标题"/>
    <w:basedOn w:val="1112"/>
    <w:next w:val="748"/>
    <w:uiPriority w:val="0"/>
    <w:qFormat/>
    <w:pPr>
      <w:numPr>
        <w:ilvl w:val="5"/>
      </w:numPr>
      <w:ind w:left="0" w:hanging="840"/>
      <w:outlineLvl w:val="5"/>
    </w:pPr>
  </w:style>
  <w:style w:type="paragraph" w:styleId="1122" w:customStyle="1">
    <w:name w:val="xl49"/>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3" w:customStyle="1">
    <w:name w:val="文档正文"/>
    <w:basedOn w:val="748"/>
    <w:uiPriority w:val="0"/>
    <w:qFormat/>
    <w:pPr>
      <w:spacing w:before="120" w:after="120" w:line="180" w:lineRule="auto"/>
    </w:pPr>
    <w:rPr>
      <w:rFonts w:ascii="Arial" w:hAnsi="Arial"/>
      <w:szCs w:val="20"/>
    </w:rPr>
  </w:style>
  <w:style w:type="paragraph" w:styleId="1124" w:customStyle="1">
    <w:name w:val="xl33"/>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5" w:customStyle="1">
    <w:name w:val="xl42"/>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6" w:customStyle="1">
    <w:name w:val="Char Char Char1 Char"/>
    <w:basedOn w:val="748"/>
    <w:uiPriority w:val="0"/>
    <w:qFormat/>
    <w:rPr>
      <w:rFonts w:ascii="Tahoma" w:hAnsi="Tahoma"/>
      <w:sz w:val="24"/>
      <w:szCs w:val="20"/>
    </w:rPr>
  </w:style>
  <w:style w:type="paragraph" w:styleId="1127" w:customStyle="1">
    <w:name w:val="xl44"/>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8" w:customStyle="1">
    <w:name w:val="1名"/>
    <w:basedOn w:val="748"/>
    <w:uiPriority w:val="0"/>
    <w:qFormat/>
    <w:pPr>
      <w:numPr>
        <w:ilvl w:val="0"/>
        <w:numId w:val="5"/>
      </w:numPr>
      <w:spacing w:before="120"/>
    </w:pPr>
    <w:rPr>
      <w:rFonts w:ascii="宋体"/>
      <w:sz w:val="28"/>
      <w:szCs w:val="20"/>
    </w:rPr>
  </w:style>
  <w:style w:type="paragraph" w:styleId="1129" w:customStyle="1">
    <w:name w:val="font9"/>
    <w:basedOn w:val="74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30" w:customStyle="1">
    <w:name w:val="Char Char Char1 Char1"/>
    <w:basedOn w:val="748"/>
    <w:uiPriority w:val="0"/>
    <w:qFormat/>
    <w:rPr>
      <w:rFonts w:ascii="Tahoma" w:hAnsi="Tahoma"/>
      <w:sz w:val="24"/>
      <w:szCs w:val="20"/>
    </w:rPr>
  </w:style>
  <w:style w:type="paragraph" w:styleId="1131" w:customStyle="1">
    <w:name w:val="Char Char Char Char Char Char Char Char Char Char"/>
    <w:basedOn w:val="748"/>
    <w:uiPriority w:val="0"/>
    <w:qFormat/>
  </w:style>
  <w:style w:type="paragraph" w:styleId="1132" w:customStyle="1">
    <w:name w:val="Char Char1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33" w:customStyle="1">
    <w:name w:val="Char1"/>
    <w:basedOn w:val="748"/>
    <w:uiPriority w:val="0"/>
    <w:qFormat/>
    <w:pPr>
      <w:tabs>
        <w:tab w:val="left" w:pos="360" w:leader="none"/>
      </w:tabs>
    </w:pPr>
    <w:rPr>
      <w:sz w:val="24"/>
    </w:rPr>
  </w:style>
  <w:style w:type="paragraph" w:styleId="1134" w:customStyle="1">
    <w:name w:val="正文列项_字母"/>
    <w:basedOn w:val="74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5" w:customStyle="1">
    <w:name w:val="xl28"/>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customStyle="1">
    <w:name w:val="xl4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7" w:customStyle="1">
    <w:name w:val="默认段落字体 Para Char Char Char Char"/>
    <w:basedOn w:val="748"/>
    <w:uiPriority w:val="0"/>
    <w:qFormat/>
    <w:rPr>
      <w:rFonts w:ascii="Arial" w:hAnsi="Arial" w:cs="Arial"/>
      <w:szCs w:val="21"/>
    </w:rPr>
  </w:style>
  <w:style w:type="paragraph" w:styleId="1138" w:customStyle="1">
    <w:name w:val="xl48"/>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9" w:customStyle="1">
    <w:name w:val="xl31"/>
    <w:basedOn w:val="7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0" w:customStyle="1">
    <w:name w:val="xl53"/>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1" w:customStyle="1">
    <w:name w:val="Char Char Char"/>
    <w:basedOn w:val="748"/>
    <w:uiPriority w:val="0"/>
    <w:qFormat/>
    <w:rPr>
      <w:rFonts w:ascii="Tahoma" w:hAnsi="Tahoma"/>
      <w:sz w:val="24"/>
      <w:szCs w:val="20"/>
    </w:rPr>
  </w:style>
  <w:style w:type="paragraph" w:styleId="1142" w:customStyle="1">
    <w:name w:val="xl50"/>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3" w:customStyle="1">
    <w:name w:val="缺省文本"/>
    <w:basedOn w:val="748"/>
    <w:uiPriority w:val="0"/>
    <w:qFormat/>
    <w:pPr>
      <w:jc w:val="left"/>
    </w:pPr>
    <w:rPr>
      <w:sz w:val="24"/>
    </w:rPr>
  </w:style>
  <w:style w:type="paragraph" w:styleId="1144" w:customStyle="1">
    <w:name w:val="Char Char Char1"/>
    <w:basedOn w:val="748"/>
    <w:uiPriority w:val="0"/>
    <w:qFormat/>
    <w:rPr>
      <w:rFonts w:ascii="Tahoma" w:hAnsi="Tahoma"/>
      <w:sz w:val="24"/>
      <w:szCs w:val="20"/>
    </w:rPr>
  </w:style>
  <w:style w:type="paragraph" w:styleId="1145" w:customStyle="1">
    <w:name w:val="Char Char Char Char Char Char Char1"/>
    <w:basedOn w:val="748"/>
    <w:uiPriority w:val="0"/>
    <w:qFormat/>
    <w:pPr>
      <w:ind w:firstLine="200"/>
      <w:spacing w:line="360" w:lineRule="auto"/>
    </w:pPr>
    <w:rPr>
      <w:rFonts w:eastAsia="仿宋_GB2312"/>
      <w:sz w:val="24"/>
    </w:rPr>
  </w:style>
  <w:style w:type="paragraph" w:styleId="1146" w:customStyle="1">
    <w:name w:val="xl51"/>
    <w:basedOn w:val="7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customStyle="1">
    <w:name w:val="样式2"/>
    <w:basedOn w:val="1035"/>
    <w:uiPriority w:val="0"/>
    <w:qFormat/>
    <w:pPr>
      <w:jc w:val="center"/>
      <w:spacing w:line="360" w:lineRule="auto"/>
    </w:pPr>
    <w:rPr>
      <w:sz w:val="24"/>
    </w:rPr>
  </w:style>
  <w:style w:type="paragraph" w:styleId="1148" w:customStyle="1">
    <w:name w:val="xl24"/>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9"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0" w:customStyle="1">
    <w:name w:val="正文 + 楷体_GB2312"/>
    <w:basedOn w:val="748"/>
    <w:uiPriority w:val="0"/>
    <w:qFormat/>
    <w:pPr>
      <w:jc w:val="left"/>
      <w:widowControl/>
    </w:pPr>
    <w:rPr>
      <w:rFonts w:ascii="楷体_GB2312" w:eastAsia="楷体_GB2312" w:cs="Arial"/>
      <w:sz w:val="24"/>
    </w:rPr>
  </w:style>
  <w:style w:type="paragraph" w:styleId="1151" w:customStyle="1">
    <w:name w:val="xl34"/>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2" w:customStyle="1">
    <w:name w:val="1 Char Char Char Char"/>
    <w:basedOn w:val="748"/>
    <w:uiPriority w:val="0"/>
    <w:qFormat/>
    <w:rPr>
      <w:rFonts w:ascii="Tahoma" w:hAnsi="Tahoma"/>
      <w:sz w:val="24"/>
      <w:szCs w:val="20"/>
    </w:rPr>
  </w:style>
  <w:style w:type="paragraph" w:styleId="1153" w:customStyle="1">
    <w:name w:val="列出段落1"/>
    <w:basedOn w:val="748"/>
    <w:uiPriority w:val="0"/>
    <w:qFormat/>
    <w:pPr>
      <w:ind w:firstLine="420"/>
    </w:pPr>
    <w:rPr>
      <w:rFonts w:ascii="Calibri" w:hAnsi="Calibri"/>
      <w:szCs w:val="22"/>
    </w:rPr>
  </w:style>
  <w:style w:type="paragraph" w:styleId="1154" w:customStyle="1">
    <w:name w:val="default"/>
    <w:basedOn w:val="748"/>
    <w:uiPriority w:val="0"/>
    <w:qFormat/>
    <w:pPr>
      <w:jc w:val="left"/>
      <w:spacing w:before="100" w:beforeAutospacing="1" w:after="100" w:afterAutospacing="1"/>
      <w:widowControl/>
    </w:pPr>
    <w:rPr>
      <w:rFonts w:ascii="宋体" w:hAnsi="宋体" w:cs="宋体"/>
      <w:sz w:val="24"/>
    </w:rPr>
  </w:style>
  <w:style w:type="paragraph" w:styleId="1155" w:customStyle="1">
    <w:name w:val="字元 字元1"/>
    <w:basedOn w:val="748"/>
    <w:uiPriority w:val="0"/>
    <w:qFormat/>
    <w:rPr>
      <w:rFonts w:ascii="Tahoma" w:hAnsi="Tahoma"/>
      <w:sz w:val="24"/>
      <w:szCs w:val="20"/>
    </w:rPr>
  </w:style>
  <w:style w:type="paragraph" w:styleId="1156" w:customStyle="1">
    <w:name w:val="_Style 160"/>
    <w:uiPriority w:val="0"/>
    <w:qFormat/>
    <w:rPr>
      <w:rFonts w:hint="default" w:ascii="Times New Roman" w:hAnsi="Times New Roman" w:eastAsia="宋体" w:cs="Times New Roman"/>
      <w:sz w:val="21"/>
      <w:szCs w:val="24"/>
      <w:lang w:val="en-US" w:eastAsia="zh-CN" w:bidi="ar-SA"/>
    </w:rPr>
  </w:style>
  <w:style w:type="paragraph" w:styleId="1157" w:customStyle="1">
    <w:name w:val="项目编号3"/>
    <w:basedOn w:val="1118"/>
    <w:uiPriority w:val="0"/>
    <w:qFormat/>
    <w:pPr>
      <w:numPr>
        <w:ilvl w:val="0"/>
        <w:numId w:val="6"/>
      </w:numPr>
    </w:pPr>
  </w:style>
  <w:style w:type="paragraph" w:styleId="1158" w:customStyle="1">
    <w:name w:val="Char21"/>
    <w:basedOn w:val="748"/>
    <w:uiPriority w:val="0"/>
    <w:qFormat/>
    <w:rPr>
      <w:rFonts w:ascii="Tahoma" w:hAnsi="Tahoma"/>
      <w:sz w:val="24"/>
      <w:szCs w:val="20"/>
    </w:rPr>
  </w:style>
  <w:style w:type="paragraph" w:styleId="1159" w:customStyle="1">
    <w:name w:val="表格文字"/>
    <w:basedOn w:val="1006"/>
    <w:uiPriority w:val="0"/>
    <w:qFormat/>
    <w:pPr>
      <w:ind w:firstLine="0"/>
      <w:spacing w:before="20" w:after="20" w:line="240" w:lineRule="auto"/>
    </w:pPr>
    <w:rPr>
      <w:rFonts w:ascii="Century Gothic" w:hAnsi="Century Gothic"/>
      <w:sz w:val="20"/>
      <w:szCs w:val="20"/>
    </w:rPr>
  </w:style>
  <w:style w:type="paragraph" w:styleId="1160" w:customStyle="1">
    <w:name w:val="Char Char Char Char Char Char Char Char Char Char1"/>
    <w:basedOn w:val="748"/>
    <w:uiPriority w:val="0"/>
    <w:qFormat/>
    <w:rPr>
      <w:rFonts w:ascii="宋体" w:hAnsi="宋体" w:cs="Courier New"/>
      <w:sz w:val="32"/>
      <w:szCs w:val="32"/>
    </w:rPr>
  </w:style>
  <w:style w:type="paragraph" w:styleId="1161" w:customStyle="1">
    <w:name w:val="正文文本样式 加粗"/>
    <w:basedOn w:val="1118"/>
    <w:uiPriority w:val="0"/>
    <w:qFormat/>
    <w:rPr>
      <w:b/>
    </w:rPr>
  </w:style>
  <w:style w:type="paragraph" w:styleId="1162" w:customStyle="1">
    <w:name w:val="Char2 Char Char Char Char Char Char"/>
    <w:basedOn w:val="748"/>
    <w:uiPriority w:val="0"/>
    <w:qFormat/>
    <w:pPr>
      <w:jc w:val="center"/>
      <w:spacing w:line="400" w:lineRule="exact"/>
      <w:widowControl/>
    </w:pPr>
  </w:style>
  <w:style w:type="paragraph" w:styleId="1163" w:customStyle="1">
    <w:name w:val="Char Char4"/>
    <w:basedOn w:val="748"/>
    <w:uiPriority w:val="0"/>
    <w:qFormat/>
    <w:pPr>
      <w:jc w:val="center"/>
      <w:spacing w:line="400" w:lineRule="exact"/>
      <w:widowControl/>
    </w:pPr>
  </w:style>
  <w:style w:type="paragraph" w:styleId="1164" w:customStyle="1">
    <w:name w:val="Char3 Char Char Char1"/>
    <w:basedOn w:val="748"/>
    <w:uiPriority w:val="0"/>
    <w:qFormat/>
    <w:rPr>
      <w:rFonts w:ascii="Tahoma" w:hAnsi="Tahoma"/>
      <w:sz w:val="24"/>
      <w:szCs w:val="20"/>
    </w:rPr>
  </w:style>
  <w:style w:type="paragraph" w:styleId="116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22222222222222"/>
    <w:basedOn w:val="748"/>
    <w:uiPriority w:val="0"/>
    <w:qFormat/>
    <w:pPr>
      <w:ind w:firstLine="480"/>
      <w:jc w:val="left"/>
      <w:spacing w:line="360" w:lineRule="auto"/>
      <w:widowControl/>
    </w:pPr>
    <w:rPr>
      <w:color w:val="ff0000"/>
      <w:sz w:val="24"/>
      <w:szCs w:val="20"/>
    </w:rPr>
  </w:style>
  <w:style w:type="character" w:styleId="1167" w:customStyle="1">
    <w:name w:val="中等深浅网格 1 - 强调文字颜色 2 Char"/>
    <w:link w:val="1168"/>
    <w:uiPriority w:val="0"/>
    <w:qFormat/>
    <w:rPr>
      <w:sz w:val="21"/>
      <w:szCs w:val="24"/>
      <w:lang w:val="zh-CN" w:eastAsia="zh-CN" w:bidi="ar-SA"/>
    </w:rPr>
  </w:style>
  <w:style w:type="paragraph" w:styleId="1168" w:customStyle="1">
    <w:name w:val="1"/>
    <w:link w:val="1167"/>
    <w:uiPriority w:val="0"/>
    <w:qFormat/>
    <w:rPr>
      <w:rFonts w:hint="default" w:ascii="Times New Roman" w:hAnsi="Times New Roman" w:eastAsia="宋体" w:cs="Times New Roman"/>
      <w:sz w:val="21"/>
      <w:szCs w:val="24"/>
      <w:lang w:val="zh-CN" w:eastAsia="zh-CN" w:bidi="ar-SA"/>
    </w:rPr>
  </w:style>
  <w:style w:type="paragraph" w:styleId="1169" w:customStyle="1">
    <w:name w:val="图文"/>
    <w:basedOn w:val="748"/>
    <w:uiPriority w:val="0"/>
    <w:qFormat/>
    <w:pPr>
      <w:spacing w:after="50" w:line="360" w:lineRule="auto"/>
    </w:pPr>
    <w:rPr>
      <w:sz w:val="24"/>
    </w:rPr>
  </w:style>
  <w:style w:type="paragraph" w:styleId="1170" w:customStyle="1">
    <w:name w:val="xl23"/>
    <w:basedOn w:val="748"/>
    <w:uiPriority w:val="0"/>
    <w:qFormat/>
    <w:pPr>
      <w:spacing w:before="100" w:beforeAutospacing="1" w:after="100" w:afterAutospacing="1" w:line="360" w:lineRule="auto"/>
      <w:widowControl/>
    </w:pPr>
    <w:rPr>
      <w:sz w:val="24"/>
      <w:szCs w:val="20"/>
    </w:rPr>
  </w:style>
  <w:style w:type="paragraph" w:styleId="1171" w:customStyle="1">
    <w:name w:val="正文表格"/>
    <w:basedOn w:val="748"/>
    <w:link w:val="1172"/>
    <w:uiPriority w:val="0"/>
    <w:qFormat/>
    <w:pPr>
      <w:jc w:val="left"/>
    </w:pPr>
    <w:rPr>
      <w:rFonts w:ascii="宋体" w:hAnsi="宋体"/>
      <w:color w:val="000000"/>
      <w:szCs w:val="21"/>
    </w:rPr>
  </w:style>
  <w:style w:type="character" w:styleId="1172" w:customStyle="1">
    <w:name w:val="正文表格 Char"/>
    <w:link w:val="1171"/>
    <w:uiPriority w:val="0"/>
    <w:qFormat/>
    <w:rPr>
      <w:rFonts w:ascii="宋体" w:hAnsi="宋体"/>
      <w:color w:val="000000"/>
      <w:sz w:val="21"/>
      <w:szCs w:val="21"/>
    </w:rPr>
  </w:style>
  <w:style w:type="paragraph" w:styleId="1173" w:customStyle="1">
    <w:name w:val="正文重点"/>
    <w:basedOn w:val="748"/>
    <w:link w:val="1174"/>
    <w:uiPriority w:val="0"/>
    <w:qFormat/>
    <w:pPr>
      <w:ind w:firstLine="482"/>
      <w:jc w:val="left"/>
      <w:spacing w:line="360" w:lineRule="auto"/>
    </w:pPr>
    <w:rPr>
      <w:b/>
      <w:sz w:val="24"/>
      <w:szCs w:val="20"/>
    </w:rPr>
  </w:style>
  <w:style w:type="character" w:styleId="1174" w:customStyle="1">
    <w:name w:val="正文重点 Char"/>
    <w:link w:val="1173"/>
    <w:uiPriority w:val="0"/>
    <w:qFormat/>
    <w:rPr>
      <w:b/>
      <w:sz w:val="24"/>
    </w:rPr>
  </w:style>
  <w:style w:type="paragraph" w:styleId="1175" w:customStyle="1">
    <w:name w:val="标题1-附件"/>
    <w:basedOn w:val="974"/>
    <w:uiPriority w:val="0"/>
    <w:qFormat/>
    <w:pPr>
      <w:jc w:val="left"/>
    </w:pPr>
    <w:rPr>
      <w:sz w:val="24"/>
      <w:szCs w:val="24"/>
    </w:rPr>
  </w:style>
  <w:style w:type="paragraph" w:styleId="1176" w:customStyle="1">
    <w:name w:val="正文小标题"/>
    <w:basedOn w:val="748"/>
    <w:next w:val="977"/>
    <w:link w:val="1177"/>
    <w:uiPriority w:val="0"/>
    <w:qFormat/>
    <w:pPr>
      <w:ind w:firstLine="482"/>
      <w:jc w:val="left"/>
      <w:spacing w:before="312" w:after="312"/>
    </w:pPr>
    <w:rPr>
      <w:rFonts w:ascii="宋体" w:hAnsi="宋体"/>
      <w:b/>
      <w:i/>
      <w:color w:val="ff0000"/>
      <w:sz w:val="24"/>
      <w:szCs w:val="20"/>
    </w:rPr>
  </w:style>
  <w:style w:type="character" w:styleId="1177" w:customStyle="1">
    <w:name w:val="正文小标题 Char"/>
    <w:link w:val="1176"/>
    <w:uiPriority w:val="0"/>
    <w:qFormat/>
    <w:rPr>
      <w:rFonts w:ascii="宋体" w:hAnsi="宋体"/>
      <w:b/>
      <w:i/>
      <w:color w:val="ff0000"/>
      <w:sz w:val="24"/>
    </w:rPr>
  </w:style>
  <w:style w:type="paragraph" w:styleId="1178" w:customStyle="1">
    <w:name w:val="正文大标题"/>
    <w:basedOn w:val="1176"/>
    <w:next w:val="977"/>
    <w:link w:val="1179"/>
    <w:uiPriority w:val="0"/>
    <w:qFormat/>
    <w:pPr>
      <w:jc w:val="center"/>
    </w:pPr>
    <w:rPr>
      <w:i w:val="0"/>
      <w:color w:val="000000"/>
      <w:sz w:val="28"/>
      <w:szCs w:val="21"/>
    </w:rPr>
  </w:style>
  <w:style w:type="character" w:styleId="1179" w:customStyle="1">
    <w:name w:val="正文大标题 Char"/>
    <w:link w:val="1178"/>
    <w:uiPriority w:val="0"/>
    <w:qFormat/>
    <w:rPr>
      <w:rFonts w:ascii="宋体" w:hAnsi="宋体"/>
      <w:b/>
      <w:color w:val="000000"/>
      <w:sz w:val="28"/>
      <w:szCs w:val="21"/>
    </w:rPr>
  </w:style>
  <w:style w:type="paragraph" w:styleId="1180" w:customStyle="1">
    <w:name w:val="注释"/>
    <w:basedOn w:val="748"/>
    <w:link w:val="1181"/>
    <w:uiPriority w:val="0"/>
    <w:qFormat/>
    <w:pPr>
      <w:ind w:left="420" w:hanging="420"/>
      <w:jc w:val="left"/>
    </w:pPr>
    <w:rPr>
      <w:rFonts w:ascii="宋体" w:hAnsi="宋体"/>
      <w:szCs w:val="21"/>
    </w:rPr>
  </w:style>
  <w:style w:type="character" w:styleId="1181" w:customStyle="1">
    <w:name w:val="注释 Char"/>
    <w:link w:val="1180"/>
    <w:uiPriority w:val="0"/>
    <w:qFormat/>
    <w:rPr>
      <w:rFonts w:ascii="宋体" w:hAnsi="宋体"/>
      <w:sz w:val="21"/>
      <w:szCs w:val="21"/>
    </w:rPr>
  </w:style>
  <w:style w:type="paragraph" w:styleId="1182" w:customStyle="1">
    <w:name w:val="正文须知-1级"/>
    <w:basedOn w:val="748"/>
    <w:next w:val="748"/>
    <w:uiPriority w:val="0"/>
    <w:qFormat/>
    <w:pPr>
      <w:numPr>
        <w:ilvl w:val="0"/>
        <w:numId w:val="7"/>
      </w:numPr>
      <w:spacing w:line="300" w:lineRule="auto"/>
    </w:pPr>
    <w:rPr>
      <w:rFonts w:ascii="宋体" w:hAnsi="Calibri"/>
      <w:sz w:val="24"/>
      <w:szCs w:val="21"/>
    </w:rPr>
  </w:style>
  <w:style w:type="paragraph" w:styleId="1183" w:customStyle="1">
    <w:name w:val="正文须知-2级"/>
    <w:basedOn w:val="748"/>
    <w:uiPriority w:val="0"/>
    <w:qFormat/>
    <w:pPr>
      <w:numPr>
        <w:ilvl w:val="1"/>
        <w:numId w:val="7"/>
      </w:numPr>
      <w:spacing w:line="300" w:lineRule="auto"/>
    </w:pPr>
    <w:rPr>
      <w:rFonts w:ascii="宋体" w:hAnsi="Calibri"/>
      <w:sz w:val="24"/>
      <w:szCs w:val="21"/>
    </w:rPr>
  </w:style>
  <w:style w:type="paragraph" w:styleId="1184" w:customStyle="1">
    <w:name w:val="正文须知-3级"/>
    <w:basedOn w:val="748"/>
    <w:uiPriority w:val="0"/>
    <w:qFormat/>
    <w:pPr>
      <w:numPr>
        <w:ilvl w:val="2"/>
        <w:numId w:val="7"/>
      </w:numPr>
      <w:ind w:hanging="355"/>
      <w:spacing w:line="300" w:lineRule="auto"/>
    </w:pPr>
    <w:rPr>
      <w:rFonts w:ascii="宋体" w:hAnsi="Calibri"/>
      <w:sz w:val="24"/>
      <w:szCs w:val="21"/>
    </w:rPr>
  </w:style>
  <w:style w:type="character" w:styleId="1185" w:customStyle="1">
    <w:name w:val="纯文本 字符"/>
    <w:uiPriority w:val="99"/>
    <w:qFormat/>
    <w:rPr>
      <w:rFonts w:ascii="宋体" w:hAnsi="Courier New" w:eastAsia="宋体" w:cs="Times New Roman"/>
      <w:sz w:val="21"/>
      <w:szCs w:val="21"/>
      <w:lang w:val="en-US" w:eastAsia="zh-CN" w:bidi="ar-SA"/>
    </w:rPr>
  </w:style>
  <w:style w:type="paragraph" w:styleId="1186" w:customStyle="1">
    <w:name w:val="表格1"/>
    <w:basedOn w:val="748"/>
    <w:uiPriority w:val="0"/>
    <w:qFormat/>
    <w:pPr>
      <w:ind w:firstLine="480"/>
      <w:jc w:val="center"/>
    </w:pPr>
    <w:rPr>
      <w:sz w:val="24"/>
      <w:szCs w:val="20"/>
    </w:rPr>
  </w:style>
  <w:style w:type="character" w:styleId="1187" w:customStyle="1">
    <w:name w:val="纯文本 字符1"/>
    <w:uiPriority w:val="0"/>
    <w:qFormat/>
    <w:rPr>
      <w:rFonts w:ascii="宋体" w:hAnsi="Courier New"/>
    </w:rPr>
  </w:style>
  <w:style w:type="character" w:styleId="1188" w:customStyle="1">
    <w:name w:val="bjh-p"/>
    <w:uiPriority w:val="0"/>
    <w:qFormat/>
  </w:style>
  <w:style w:type="paragraph" w:styleId="1189" w:customStyle="1">
    <w:name w:val="无标题条"/>
    <w:next w:val="748"/>
    <w:uiPriority w:val="0"/>
    <w:qFormat/>
    <w:pPr>
      <w:jc w:val="both"/>
    </w:pPr>
    <w:rPr>
      <w:rFonts w:hint="default" w:ascii="Times New Roman" w:hAnsi="Times New Roman" w:eastAsia="宋体" w:cs="Times New Roman"/>
      <w:sz w:val="21"/>
      <w:lang w:val="en-US" w:eastAsia="zh-CN" w:bidi="ar-SA"/>
    </w:rPr>
  </w:style>
  <w:style w:type="character" w:styleId="1190" w:customStyle="1">
    <w:name w:val="正文格式 Char"/>
    <w:link w:val="1191"/>
    <w:uiPriority w:val="0"/>
    <w:qFormat/>
    <w:rPr>
      <w:rFonts w:ascii="宋体" w:hAnsi="宋体"/>
      <w:sz w:val="24"/>
      <w:szCs w:val="24"/>
      <w:lang w:val="en-GB"/>
    </w:rPr>
  </w:style>
  <w:style w:type="paragraph" w:styleId="1191" w:customStyle="1">
    <w:name w:val="正文格式"/>
    <w:basedOn w:val="748"/>
    <w:link w:val="1190"/>
    <w:uiPriority w:val="0"/>
    <w:qFormat/>
    <w:pPr>
      <w:ind w:firstLine="480"/>
      <w:spacing w:line="360" w:lineRule="auto"/>
    </w:pPr>
    <w:rPr>
      <w:rFonts w:ascii="宋体" w:hAnsi="宋体"/>
      <w:sz w:val="24"/>
      <w:lang w:val="en-GB"/>
    </w:rPr>
  </w:style>
  <w:style w:type="character" w:styleId="1192" w:customStyle="1">
    <w:name w:val="标题 3 Char"/>
    <w:uiPriority w:val="0"/>
    <w:qFormat/>
    <w:rPr>
      <w:rFonts w:ascii="宋体" w:eastAsia="宋体"/>
      <w:b/>
      <w:sz w:val="24"/>
      <w:u w:val="single"/>
      <w:lang w:val="en-US" w:eastAsia="zh-CN" w:bidi="ar-SA"/>
    </w:rPr>
  </w:style>
  <w:style w:type="character" w:styleId="1193" w:customStyle="1">
    <w:name w:val="正文缩进 Char"/>
    <w:uiPriority w:val="0"/>
    <w:qFormat/>
    <w:rPr>
      <w:rFonts w:ascii="宋体" w:eastAsia="宋体"/>
      <w:sz w:val="24"/>
      <w:szCs w:val="24"/>
      <w:lang w:val="en-US" w:eastAsia="zh-CN" w:bidi="ar-SA"/>
    </w:rPr>
  </w:style>
  <w:style w:type="character" w:styleId="1194" w:customStyle="1">
    <w:name w:val="Char Char111"/>
    <w:uiPriority w:val="0"/>
    <w:qFormat/>
    <w:rPr>
      <w:rFonts w:ascii="宋体" w:eastAsia="宋体"/>
      <w:b/>
      <w:sz w:val="24"/>
      <w:u w:val="single"/>
      <w:lang w:val="en-US" w:eastAsia="zh-CN" w:bidi="ar-SA"/>
    </w:rPr>
  </w:style>
  <w:style w:type="character" w:styleId="1195" w:customStyle="1">
    <w:name w:val="正文文本缩进 Char"/>
    <w:uiPriority w:val="0"/>
    <w:qFormat/>
    <w:rPr>
      <w:rFonts w:eastAsia="宋体"/>
      <w:sz w:val="24"/>
      <w:szCs w:val="24"/>
      <w:lang w:val="en-US" w:eastAsia="zh-CN" w:bidi="ar-SA"/>
    </w:rPr>
  </w:style>
  <w:style w:type="character" w:styleId="1196" w:customStyle="1">
    <w:name w:val="列出段落 Char"/>
    <w:uiPriority w:val="0"/>
    <w:qFormat/>
    <w:rPr>
      <w:rFonts w:ascii="Calibri" w:hAnsi="Calibri" w:eastAsia="宋体"/>
      <w:sz w:val="21"/>
      <w:szCs w:val="22"/>
      <w:lang w:val="en-US" w:eastAsia="zh-CN" w:bidi="ar-SA"/>
    </w:rPr>
  </w:style>
  <w:style w:type="character" w:styleId="1197" w:customStyle="1">
    <w:name w:val="页眉 Char"/>
    <w:uiPriority w:val="0"/>
    <w:qFormat/>
    <w:rPr>
      <w:rFonts w:eastAsia="宋体"/>
      <w:sz w:val="18"/>
      <w:szCs w:val="18"/>
      <w:lang w:val="en-US" w:eastAsia="zh-CN" w:bidi="ar-SA"/>
    </w:rPr>
  </w:style>
  <w:style w:type="character" w:styleId="1198" w:customStyle="1">
    <w:name w:val="标题 2 Char"/>
    <w:uiPriority w:val="0"/>
    <w:qFormat/>
    <w:rPr>
      <w:rFonts w:ascii="Arial" w:hAnsi="Arial" w:eastAsia="黑体"/>
      <w:b/>
      <w:sz w:val="30"/>
      <w:lang w:val="en-US" w:eastAsia="zh-CN" w:bidi="ar-SA"/>
    </w:rPr>
  </w:style>
  <w:style w:type="paragraph" w:styleId="1199" w:customStyle="1">
    <w:name w:val="字元 字元2"/>
    <w:basedOn w:val="748"/>
    <w:uiPriority w:val="0"/>
    <w:qFormat/>
    <w:rPr>
      <w:rFonts w:ascii="Tahoma" w:hAnsi="Tahoma"/>
      <w:sz w:val="24"/>
      <w:szCs w:val="20"/>
    </w:rPr>
  </w:style>
  <w:style w:type="paragraph" w:styleId="1200" w:customStyle="1">
    <w:name w:val="Char3 Char Char Char2"/>
    <w:basedOn w:val="748"/>
    <w:uiPriority w:val="0"/>
    <w:qFormat/>
    <w:rPr>
      <w:rFonts w:ascii="Tahoma" w:hAnsi="Tahoma"/>
      <w:sz w:val="24"/>
      <w:szCs w:val="20"/>
    </w:rPr>
  </w:style>
  <w:style w:type="paragraph" w:styleId="1201" w:customStyle="1">
    <w:name w:val="正文文本缩进2"/>
    <w:basedOn w:val="748"/>
    <w:uiPriority w:val="0"/>
    <w:qFormat/>
    <w:pPr>
      <w:ind w:firstLine="480"/>
      <w:spacing w:line="480" w:lineRule="exact"/>
    </w:pPr>
    <w:rPr>
      <w:rFonts w:ascii="宋体" w:hAnsi="宋体"/>
      <w:sz w:val="24"/>
      <w:lang w:val="zh-CN"/>
    </w:rPr>
  </w:style>
  <w:style w:type="paragraph" w:styleId="1202" w:customStyle="1">
    <w:name w:val="Char3"/>
    <w:basedOn w:val="748"/>
    <w:uiPriority w:val="0"/>
    <w:qFormat/>
    <w:pPr>
      <w:tabs>
        <w:tab w:val="left" w:pos="360" w:leader="none"/>
      </w:tabs>
    </w:pPr>
    <w:rPr>
      <w:sz w:val="24"/>
    </w:rPr>
  </w:style>
  <w:style w:type="paragraph" w:styleId="1203" w:customStyle="1">
    <w:name w:val="Char Char Char Char Char Char Char Char Char Char Char Char Char Char Char Char1"/>
    <w:basedOn w:val="748"/>
    <w:uiPriority w:val="0"/>
    <w:qFormat/>
    <w:pPr>
      <w:jc w:val="center"/>
      <w:spacing w:after="160" w:line="240" w:lineRule="exact"/>
      <w:widowControl/>
    </w:pPr>
    <w:rPr>
      <w:rFonts w:ascii="宋体" w:hAnsi="宋体"/>
      <w:b/>
      <w:sz w:val="30"/>
      <w:szCs w:val="30"/>
      <w:lang w:eastAsia="en-US"/>
    </w:rPr>
  </w:style>
  <w:style w:type="paragraph" w:styleId="1204" w:customStyle="1">
    <w:name w:val="Char Char1 Char Char Char Char Char Char1"/>
    <w:basedOn w:val="748"/>
    <w:uiPriority w:val="0"/>
    <w:qFormat/>
    <w:pPr>
      <w:jc w:val="left"/>
      <w:spacing w:after="160" w:line="240" w:lineRule="exact"/>
      <w:widowControl/>
    </w:pPr>
    <w:rPr>
      <w:rFonts w:ascii="Verdana" w:hAnsi="Verdana" w:eastAsia="仿宋_GB2312"/>
      <w:sz w:val="24"/>
      <w:szCs w:val="20"/>
      <w:lang w:eastAsia="en-US"/>
    </w:rPr>
  </w:style>
  <w:style w:type="paragraph" w:styleId="1205" w:customStyle="1">
    <w:name w:val="列出段落2"/>
    <w:basedOn w:val="748"/>
    <w:uiPriority w:val="0"/>
    <w:qFormat/>
    <w:pPr>
      <w:ind w:firstLine="420"/>
    </w:pPr>
    <w:rPr>
      <w:rFonts w:ascii="Calibri" w:hAnsi="Calibri"/>
      <w:szCs w:val="22"/>
    </w:rPr>
  </w:style>
  <w:style w:type="paragraph" w:styleId="1206" w:customStyle="1">
    <w:name w:val="Char Char Char1 Char2"/>
    <w:basedOn w:val="748"/>
    <w:uiPriority w:val="0"/>
    <w:qFormat/>
    <w:rPr>
      <w:rFonts w:ascii="Tahoma" w:hAnsi="Tahoma"/>
      <w:sz w:val="24"/>
      <w:szCs w:val="20"/>
    </w:rPr>
  </w:style>
  <w:style w:type="paragraph" w:styleId="1207" w:customStyle="1">
    <w:name w:val="Char Char Char2"/>
    <w:basedOn w:val="748"/>
    <w:uiPriority w:val="0"/>
    <w:qFormat/>
    <w:rPr>
      <w:rFonts w:ascii="Tahoma" w:hAnsi="Tahoma"/>
      <w:sz w:val="24"/>
      <w:szCs w:val="20"/>
    </w:rPr>
  </w:style>
  <w:style w:type="paragraph" w:styleId="1208" w:customStyle="1">
    <w:name w:val="Char Char Char Char Char Char Char2"/>
    <w:basedOn w:val="748"/>
    <w:uiPriority w:val="0"/>
    <w:qFormat/>
    <w:pPr>
      <w:ind w:firstLine="200"/>
      <w:spacing w:line="360" w:lineRule="auto"/>
    </w:pPr>
    <w:rPr>
      <w:rFonts w:eastAsia="仿宋_GB2312"/>
      <w:sz w:val="24"/>
    </w:rPr>
  </w:style>
  <w:style w:type="paragraph" w:styleId="1209" w:customStyle="1">
    <w:name w:val="正文缩进2"/>
    <w:basedOn w:val="748"/>
    <w:uiPriority w:val="0"/>
    <w:qFormat/>
    <w:pPr>
      <w:ind w:firstLine="567"/>
      <w:spacing w:line="480" w:lineRule="exact"/>
      <w:widowControl/>
    </w:pPr>
    <w:rPr>
      <w:rFonts w:ascii="宋体"/>
      <w:color w:val="000000"/>
      <w:sz w:val="28"/>
      <w:szCs w:val="20"/>
      <w:lang w:val="zh-CN"/>
    </w:rPr>
  </w:style>
  <w:style w:type="paragraph" w:styleId="1210" w:customStyle="1">
    <w:name w:val="修订1"/>
    <w:uiPriority w:val="0"/>
    <w:qFormat/>
    <w:rPr>
      <w:rFonts w:hint="default" w:ascii="Times New Roman" w:hAnsi="Times New Roman" w:eastAsia="宋体" w:cs="Times New Roman"/>
      <w:sz w:val="21"/>
      <w:szCs w:val="24"/>
      <w:lang w:val="en-US" w:eastAsia="zh-CN" w:bidi="ar-SA"/>
    </w:rPr>
  </w:style>
  <w:style w:type="paragraph" w:styleId="1211" w:customStyle="1">
    <w:name w:val="Char22"/>
    <w:basedOn w:val="748"/>
    <w:uiPriority w:val="0"/>
    <w:qFormat/>
    <w:rPr>
      <w:rFonts w:ascii="Tahoma" w:hAnsi="Tahoma"/>
      <w:sz w:val="24"/>
      <w:szCs w:val="20"/>
    </w:rPr>
  </w:style>
  <w:style w:type="paragraph" w:styleId="1212" w:customStyle="1">
    <w:name w:val="Char Char Char Char Char Char Char Char Char Char2"/>
    <w:basedOn w:val="748"/>
    <w:uiPriority w:val="0"/>
    <w:qFormat/>
    <w:rPr>
      <w:rFonts w:ascii="宋体" w:hAnsi="宋体" w:cs="Courier New"/>
      <w:sz w:val="32"/>
      <w:szCs w:val="32"/>
    </w:rPr>
  </w:style>
  <w:style w:type="paragraph" w:styleId="1213" w:customStyle="1">
    <w:name w:val="Char2 Char Char Char Char Char Char1"/>
    <w:basedOn w:val="748"/>
    <w:uiPriority w:val="0"/>
    <w:qFormat/>
    <w:pPr>
      <w:jc w:val="center"/>
      <w:spacing w:line="400" w:lineRule="exact"/>
      <w:widowControl/>
    </w:pPr>
  </w:style>
  <w:style w:type="character" w:styleId="1214" w:customStyle="1">
    <w:name w:val="页脚 Char"/>
    <w:uiPriority w:val="0"/>
    <w:qFormat/>
    <w:rPr>
      <w:rFonts w:ascii="宋体" w:eastAsia="宋体"/>
      <w:sz w:val="18"/>
      <w:lang w:val="en-US" w:eastAsia="zh-CN" w:bidi="ar-SA"/>
    </w:rPr>
  </w:style>
  <w:style w:type="paragraph" w:styleId="1215" w:customStyle="1">
    <w:name w:val="Char Char41"/>
    <w:basedOn w:val="748"/>
    <w:uiPriority w:val="0"/>
    <w:qFormat/>
    <w:pPr>
      <w:jc w:val="center"/>
      <w:spacing w:line="400" w:lineRule="exact"/>
      <w:widowControl/>
    </w:pPr>
  </w:style>
  <w:style w:type="character" w:styleId="1216" w:customStyle="1">
    <w:name w:val="批注文字 Char"/>
    <w:uiPriority w:val="99"/>
    <w:qFormat/>
    <w:rPr>
      <w:sz w:val="21"/>
      <w:szCs w:val="24"/>
    </w:rPr>
  </w:style>
  <w:style w:type="character" w:styleId="1217" w:customStyle="1">
    <w:name w:val="标题 Char"/>
    <w:uiPriority w:val="0"/>
    <w:qFormat/>
    <w:rPr>
      <w:b/>
      <w:sz w:val="32"/>
    </w:rPr>
  </w:style>
  <w:style w:type="paragraph" w:styleId="1218" w:customStyle="1">
    <w:name w:val="图例"/>
    <w:basedOn w:val="748"/>
    <w:uiPriority w:val="0"/>
    <w:qFormat/>
    <w:pPr>
      <w:jc w:val="center"/>
      <w:spacing w:before="120" w:after="120" w:line="360" w:lineRule="auto"/>
    </w:pPr>
    <w:rPr>
      <w:rFonts w:eastAsia="仿宋_GB2312"/>
      <w:b/>
      <w:sz w:val="24"/>
      <w:szCs w:val="20"/>
    </w:rPr>
  </w:style>
  <w:style w:type="paragraph" w:styleId="1219" w:customStyle="1">
    <w:name w:val="Table Paragraph"/>
    <w:basedOn w:val="748"/>
    <w:uiPriority w:val="1"/>
    <w:qFormat/>
    <w:pPr>
      <w:jc w:val="left"/>
    </w:pPr>
    <w:rPr>
      <w:rFonts w:ascii="宋体" w:hAnsi="宋体" w:cs="宋体"/>
      <w:sz w:val="22"/>
      <w:szCs w:val="22"/>
      <w:lang w:eastAsia="en-US"/>
    </w:rPr>
  </w:style>
  <w:style w:type="table" w:styleId="122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21" w:customStyle="1">
    <w:name w:val="成文日期"/>
    <w:basedOn w:val="748"/>
    <w:link w:val="1222"/>
    <w:uiPriority w:val="0"/>
    <w:qFormat/>
    <w:pPr>
      <w:ind w:right="400" w:firstLine="200"/>
      <w:jc w:val="right"/>
      <w:spacing w:line="570" w:lineRule="exact"/>
    </w:pPr>
    <w:rPr>
      <w:rFonts w:ascii="仿宋_GB2312" w:eastAsia="仿宋_GB2312"/>
      <w:sz w:val="32"/>
      <w:szCs w:val="20"/>
    </w:rPr>
  </w:style>
  <w:style w:type="character" w:styleId="1222" w:customStyle="1">
    <w:name w:val="成文日期 Char"/>
    <w:link w:val="1221"/>
    <w:uiPriority w:val="0"/>
    <w:qFormat/>
    <w:rPr>
      <w:rFonts w:ascii="仿宋_GB2312" w:eastAsia="仿宋_GB2312"/>
      <w:sz w:val="32"/>
    </w:rPr>
  </w:style>
  <w:style w:type="paragraph" w:styleId="1223" w:customStyle="1">
    <w:name w:val="pa-1"/>
    <w:basedOn w:val="748"/>
    <w:uiPriority w:val="0"/>
    <w:qFormat/>
    <w:pPr>
      <w:jc w:val="left"/>
      <w:spacing w:before="100" w:beforeAutospacing="1" w:after="100" w:afterAutospacing="1"/>
      <w:widowControl/>
    </w:pPr>
    <w:rPr>
      <w:rFonts w:ascii="宋体" w:hAnsi="宋体" w:cs="宋体"/>
      <w:sz w:val="24"/>
    </w:rPr>
  </w:style>
  <w:style w:type="paragraph" w:styleId="122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25" w:customStyle="1">
    <w:name w:val="p0"/>
    <w:basedOn w:val="748"/>
    <w:uiPriority w:val="0"/>
    <w:qFormat/>
    <w:pPr>
      <w:spacing w:line="312" w:lineRule="atLeast"/>
      <w:widowControl/>
    </w:pPr>
    <w:rPr>
      <w:rFonts w:ascii="宋体" w:hAnsi="宋体"/>
      <w:sz w:val="24"/>
      <w:szCs w:val="20"/>
    </w:rPr>
  </w:style>
  <w:style w:type="paragraph" w:styleId="1226" w:customStyle="1">
    <w:name w:val="常规"/>
    <w:basedOn w:val="1040"/>
    <w:uiPriority w:val="0"/>
    <w:qFormat/>
    <w:pPr>
      <w:ind w:firstLine="200"/>
      <w:tabs>
        <w:tab w:val="left" w:pos="1701" w:leader="none"/>
      </w:tabs>
    </w:pPr>
    <w:rPr>
      <w:rFonts w:ascii="Arial" w:hAnsi="Arial"/>
      <w:color w:val="000000"/>
      <w:szCs w:val="21"/>
    </w:rPr>
  </w:style>
  <w:style w:type="character" w:styleId="1227" w:customStyle="1">
    <w:name w:val="font31"/>
    <w:basedOn w:val="758"/>
    <w:uiPriority w:val="0"/>
    <w:qFormat/>
    <w:rPr>
      <w:rFonts w:hint="eastAsia" w:ascii="微软雅黑" w:hAnsi="微软雅黑" w:eastAsia="微软雅黑" w:cs="微软雅黑"/>
      <w:color w:val="000000"/>
      <w:sz w:val="20"/>
      <w:szCs w:val="20"/>
      <w:u w:val="none"/>
    </w:rPr>
  </w:style>
  <w:style w:type="paragraph" w:styleId="1228" w:customStyle="1">
    <w:name w:val="Table Text"/>
    <w:uiPriority w:val="0"/>
    <w:semiHidden/>
    <w:qFormat/>
    <w:pPr>
      <w:jc w:val="both"/>
      <w:widowControl w:val="off"/>
    </w:pPr>
    <w:rPr>
      <w:rFonts w:hint="default" w:ascii="宋体" w:hAnsi="宋体" w:eastAsia="宋体" w:cs="宋体"/>
      <w:sz w:val="21"/>
      <w:szCs w:val="21"/>
      <w:lang w:val="en-US" w:eastAsia="en-US" w:bidi="ar-SA"/>
    </w:rPr>
  </w:style>
  <w:style w:type="numbering" w:styleId="20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15</cp:revision>
  <dcterms:created xsi:type="dcterms:W3CDTF">2022-05-30T08:03:00Z</dcterms:created>
  <dcterms:modified xsi:type="dcterms:W3CDTF">2025-12-15T10:58:41Z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eyJoZGlkIjoiZjQ0MDU2NDdjYzEzODMwYmJkZDY1MmVkZTVmNGMzYjkiLCJ1c2VySWQiOiI1NDc3MzAxODIifQ==</vt:lpwstr>
  </property>
  <property fmtid="{D5CDD505-2E9C-101B-9397-08002B2CF9AE}" pid="3" name="KSOProductBuildVer">
    <vt:lpwstr>2052-12.1.0.24034</vt:lpwstr>
  </property>
  <property fmtid="{D5CDD505-2E9C-101B-9397-08002B2CF9AE}" pid="4" name="ICV">
    <vt:lpwstr>0AED1E88E49246FD97206C4E201D20EC_13</vt:lpwstr>
  </property>
</Properties>
</file>